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left="0" w:leftChars="0" w:firstLine="0" w:firstLineChars="0"/>
        <w:rPr>
          <w:rFonts w:hint="eastAsia" w:ascii="宋体" w:hAnsi="宋体" w:eastAsia="宋体" w:cs="宋体"/>
          <w:sz w:val="32"/>
          <w:szCs w:val="32"/>
          <w:lang w:val="en-US" w:eastAsia="zh-CN"/>
        </w:rPr>
      </w:pPr>
    </w:p>
    <w:p>
      <w:pPr>
        <w:rPr>
          <w:rFonts w:hint="eastAsia" w:ascii="宋体" w:hAnsi="宋体" w:eastAsia="宋体" w:cs="宋体"/>
          <w:sz w:val="44"/>
          <w:szCs w:val="44"/>
          <w:highlight w:val="none"/>
          <w:lang w:val="zh-CN"/>
        </w:rPr>
      </w:pPr>
    </w:p>
    <w:p>
      <w:pPr>
        <w:ind w:left="0" w:leftChars="0" w:firstLine="0" w:firstLineChars="0"/>
        <w:jc w:val="center"/>
        <w:outlineLvl w:val="0"/>
        <w:rPr>
          <w:rFonts w:hint="default" w:ascii="方正小标宋简体" w:hAnsi="方正小标宋简体" w:eastAsia="方正小标宋简体" w:cs="方正小标宋简体"/>
          <w:b w:val="0"/>
          <w:bCs/>
          <w:spacing w:val="20"/>
          <w:sz w:val="44"/>
          <w:szCs w:val="44"/>
          <w:highlight w:val="none"/>
          <w:lang w:val="en-US" w:eastAsia="zh-CN"/>
        </w:rPr>
      </w:pPr>
      <w:bookmarkStart w:id="0" w:name="_Toc25760"/>
      <w:bookmarkStart w:id="1" w:name="_Toc23131"/>
      <w:bookmarkStart w:id="2" w:name="_Toc8393"/>
      <w:bookmarkStart w:id="3" w:name="_Toc31919"/>
      <w:bookmarkStart w:id="4" w:name="_Toc19827"/>
      <w:r>
        <w:rPr>
          <w:rFonts w:hint="eastAsia" w:ascii="方正小标宋简体" w:hAnsi="方正小标宋简体" w:eastAsia="方正小标宋简体" w:cs="方正小标宋简体"/>
          <w:b w:val="0"/>
          <w:bCs/>
          <w:spacing w:val="20"/>
          <w:sz w:val="44"/>
          <w:szCs w:val="44"/>
          <w:highlight w:val="none"/>
          <w:lang w:val="en-US" w:eastAsia="zh-CN"/>
        </w:rPr>
        <w:t>贵州青源环境治理有限公司</w:t>
      </w:r>
      <w:bookmarkEnd w:id="0"/>
      <w:bookmarkEnd w:id="1"/>
      <w:bookmarkEnd w:id="2"/>
      <w:bookmarkEnd w:id="3"/>
    </w:p>
    <w:p>
      <w:pPr>
        <w:ind w:left="0" w:leftChars="0" w:firstLine="0" w:firstLineChars="0"/>
        <w:jc w:val="center"/>
        <w:outlineLvl w:val="0"/>
        <w:rPr>
          <w:rFonts w:hint="default" w:ascii="方正小标宋简体" w:hAnsi="方正小标宋简体" w:eastAsia="方正小标宋简体" w:cs="方正小标宋简体"/>
          <w:b w:val="0"/>
          <w:bCs/>
          <w:spacing w:val="20"/>
          <w:kern w:val="2"/>
          <w:sz w:val="44"/>
          <w:szCs w:val="44"/>
          <w:highlight w:val="none"/>
          <w:lang w:val="en-US" w:eastAsia="zh-CN" w:bidi="ar-SA"/>
        </w:rPr>
      </w:pPr>
      <w:bookmarkStart w:id="5" w:name="_Toc30143"/>
      <w:bookmarkStart w:id="6" w:name="_Toc17258"/>
      <w:bookmarkStart w:id="7" w:name="_Toc1099"/>
      <w:bookmarkStart w:id="8" w:name="_Toc24641"/>
      <w:r>
        <w:rPr>
          <w:rFonts w:hint="eastAsia" w:ascii="方正小标宋简体" w:hAnsi="方正小标宋简体" w:eastAsia="方正小标宋简体" w:cs="方正小标宋简体"/>
          <w:b w:val="0"/>
          <w:bCs/>
          <w:spacing w:val="23"/>
          <w:w w:val="95"/>
          <w:sz w:val="44"/>
          <w:szCs w:val="44"/>
          <w:highlight w:val="none"/>
          <w:lang w:val="en-US" w:eastAsia="zh-CN"/>
        </w:rPr>
        <w:t>再生水利用配置试点项目（松山再生水厂）文化建设服务商招采</w:t>
      </w:r>
      <w:r>
        <w:rPr>
          <w:rFonts w:hint="eastAsia" w:ascii="方正小标宋简体" w:hAnsi="方正小标宋简体" w:eastAsia="方正小标宋简体" w:cs="方正小标宋简体"/>
          <w:b w:val="0"/>
          <w:bCs/>
          <w:spacing w:val="20"/>
          <w:kern w:val="2"/>
          <w:sz w:val="44"/>
          <w:szCs w:val="44"/>
          <w:highlight w:val="none"/>
          <w:lang w:val="en-US" w:eastAsia="zh-CN" w:bidi="ar-SA"/>
        </w:rPr>
        <w:t>比选</w:t>
      </w:r>
      <w:bookmarkEnd w:id="4"/>
      <w:r>
        <w:rPr>
          <w:rFonts w:hint="eastAsia" w:ascii="方正小标宋简体" w:hAnsi="方正小标宋简体" w:eastAsia="方正小标宋简体" w:cs="方正小标宋简体"/>
          <w:b w:val="0"/>
          <w:bCs/>
          <w:spacing w:val="20"/>
          <w:kern w:val="2"/>
          <w:sz w:val="44"/>
          <w:szCs w:val="44"/>
          <w:highlight w:val="none"/>
          <w:lang w:val="en-US" w:eastAsia="zh-CN" w:bidi="ar-SA"/>
        </w:rPr>
        <w:t>文件</w:t>
      </w:r>
      <w:bookmarkEnd w:id="5"/>
      <w:bookmarkEnd w:id="6"/>
      <w:bookmarkEnd w:id="7"/>
      <w:bookmarkEnd w:id="8"/>
    </w:p>
    <w:p>
      <w:pPr>
        <w:jc w:val="center"/>
        <w:rPr>
          <w:rFonts w:hint="eastAsia" w:ascii="宋体" w:hAnsi="宋体" w:eastAsia="宋体" w:cs="宋体"/>
          <w:sz w:val="48"/>
          <w:highlight w:val="none"/>
        </w:rPr>
      </w:pPr>
    </w:p>
    <w:p>
      <w:pPr>
        <w:jc w:val="center"/>
        <w:rPr>
          <w:rFonts w:hint="eastAsia" w:ascii="宋体" w:hAnsi="宋体" w:eastAsia="宋体" w:cs="宋体"/>
          <w:sz w:val="48"/>
          <w:highlight w:val="none"/>
        </w:rPr>
      </w:pPr>
    </w:p>
    <w:p>
      <w:pPr>
        <w:jc w:val="center"/>
        <w:rPr>
          <w:rFonts w:hint="eastAsia" w:ascii="宋体" w:hAnsi="宋体" w:eastAsia="宋体" w:cs="宋体"/>
          <w:sz w:val="48"/>
          <w:highlight w:val="none"/>
        </w:rPr>
      </w:pPr>
    </w:p>
    <w:p>
      <w:pPr>
        <w:jc w:val="center"/>
        <w:rPr>
          <w:rFonts w:hint="eastAsia" w:ascii="宋体" w:hAnsi="宋体" w:eastAsia="宋体" w:cs="宋体"/>
          <w:sz w:val="48"/>
          <w:highlight w:val="none"/>
        </w:rPr>
      </w:pPr>
    </w:p>
    <w:p>
      <w:pPr>
        <w:jc w:val="center"/>
        <w:rPr>
          <w:rFonts w:hint="eastAsia" w:ascii="宋体" w:hAnsi="宋体" w:eastAsia="宋体" w:cs="宋体"/>
          <w:sz w:val="48"/>
          <w:highlight w:val="none"/>
        </w:rPr>
      </w:pPr>
    </w:p>
    <w:p>
      <w:pPr>
        <w:jc w:val="center"/>
        <w:rPr>
          <w:rFonts w:hint="eastAsia" w:ascii="宋体" w:hAnsi="宋体" w:eastAsia="宋体" w:cs="宋体"/>
          <w:sz w:val="48"/>
          <w:highlight w:val="none"/>
        </w:rPr>
      </w:pPr>
    </w:p>
    <w:p>
      <w:pPr>
        <w:jc w:val="center"/>
        <w:rPr>
          <w:rFonts w:hint="eastAsia" w:ascii="宋体" w:hAnsi="宋体" w:eastAsia="宋体" w:cs="宋体"/>
          <w:sz w:val="48"/>
          <w:highlight w:val="none"/>
        </w:rPr>
      </w:pPr>
    </w:p>
    <w:p>
      <w:pPr>
        <w:pStyle w:val="2"/>
        <w:rPr>
          <w:rFonts w:hint="eastAsia"/>
        </w:rPr>
      </w:pPr>
    </w:p>
    <w:p>
      <w:pPr>
        <w:jc w:val="center"/>
        <w:rPr>
          <w:rFonts w:hint="eastAsia" w:ascii="宋体" w:hAnsi="宋体" w:eastAsia="宋体" w:cs="宋体"/>
          <w:sz w:val="48"/>
          <w:highlight w:val="none"/>
        </w:rPr>
      </w:pPr>
    </w:p>
    <w:p>
      <w:pPr>
        <w:jc w:val="center"/>
        <w:rPr>
          <w:rFonts w:hint="eastAsia" w:ascii="宋体" w:hAnsi="宋体" w:eastAsia="宋体" w:cs="宋体"/>
          <w:sz w:val="48"/>
          <w:highlight w:val="none"/>
        </w:rPr>
      </w:pPr>
    </w:p>
    <w:p>
      <w:pPr>
        <w:jc w:val="center"/>
        <w:rPr>
          <w:rFonts w:hint="eastAsia" w:ascii="宋体" w:hAnsi="宋体" w:eastAsia="宋体" w:cs="宋体"/>
          <w:sz w:val="48"/>
          <w:highlight w:val="none"/>
        </w:rPr>
      </w:pPr>
    </w:p>
    <w:p>
      <w:pPr>
        <w:pStyle w:val="2"/>
        <w:ind w:firstLine="0" w:firstLineChars="0"/>
        <w:rPr>
          <w:rFonts w:hint="eastAsia"/>
        </w:rPr>
      </w:pPr>
    </w:p>
    <w:p>
      <w:pPr>
        <w:ind w:left="0" w:leftChars="0" w:firstLine="0" w:firstLineChars="0"/>
        <w:jc w:val="center"/>
        <w:rPr>
          <w:rFonts w:hint="eastAsia" w:ascii="黑体" w:hAnsi="黑体" w:eastAsia="黑体" w:cs="黑体"/>
          <w:b w:val="0"/>
          <w:bCs/>
          <w:spacing w:val="20"/>
          <w:sz w:val="44"/>
          <w:szCs w:val="44"/>
          <w:highlight w:val="none"/>
          <w:lang w:val="en-US" w:eastAsia="zh-CN"/>
        </w:rPr>
      </w:pPr>
      <w:r>
        <w:rPr>
          <w:rFonts w:hint="eastAsia" w:ascii="黑体" w:hAnsi="黑体" w:eastAsia="黑体" w:cs="黑体"/>
          <w:b w:val="0"/>
          <w:bCs/>
          <w:spacing w:val="20"/>
          <w:sz w:val="44"/>
          <w:szCs w:val="44"/>
          <w:highlight w:val="none"/>
          <w:lang w:val="en-US" w:eastAsia="zh-CN"/>
        </w:rPr>
        <w:t>2023年11</w:t>
      </w:r>
      <w:bookmarkStart w:id="93" w:name="_GoBack"/>
      <w:bookmarkEnd w:id="93"/>
      <w:r>
        <w:rPr>
          <w:rFonts w:hint="eastAsia" w:ascii="黑体" w:hAnsi="黑体" w:eastAsia="黑体" w:cs="黑体"/>
          <w:b w:val="0"/>
          <w:bCs/>
          <w:spacing w:val="20"/>
          <w:sz w:val="44"/>
          <w:szCs w:val="44"/>
          <w:highlight w:val="none"/>
          <w:lang w:val="en-US" w:eastAsia="zh-CN"/>
        </w:rPr>
        <w:t>月</w:t>
      </w:r>
    </w:p>
    <w:p>
      <w:pPr>
        <w:spacing w:line="560" w:lineRule="exact"/>
        <w:jc w:val="center"/>
        <w:outlineLvl w:val="9"/>
        <w:rPr>
          <w:rFonts w:hint="eastAsia" w:ascii="方正小标宋简体" w:hAnsi="方正小标宋简体" w:eastAsia="方正小标宋简体" w:cs="方正小标宋简体"/>
          <w:b w:val="0"/>
          <w:bCs w:val="0"/>
          <w:color w:val="333333"/>
          <w:sz w:val="44"/>
          <w:szCs w:val="44"/>
          <w:highlight w:val="none"/>
          <w:shd w:val="clear" w:color="auto" w:fill="FFFFFF"/>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2"/>
        <w:rPr>
          <w:rFonts w:hint="eastAsia"/>
        </w:rPr>
      </w:pPr>
    </w:p>
    <w:sdt>
      <w:sdtPr>
        <w:rPr>
          <w:rFonts w:ascii="宋体" w:hAnsi="宋体" w:eastAsia="宋体" w:cs="Times New Roman"/>
          <w:kern w:val="2"/>
          <w:sz w:val="21"/>
          <w:szCs w:val="24"/>
          <w:lang w:val="en-US" w:eastAsia="zh-CN" w:bidi="ar-SA"/>
        </w:rPr>
        <w:id w:val="147481745"/>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hint="eastAsia" w:ascii="仿宋" w:hAnsi="仿宋" w:eastAsia="仿宋" w:cs="仿宋"/>
              <w:b/>
              <w:bCs/>
              <w:sz w:val="32"/>
              <w:szCs w:val="32"/>
            </w:rPr>
            <w:t>目录</w:t>
          </w:r>
        </w:p>
        <w:p>
          <w:pPr>
            <w:pStyle w:val="15"/>
            <w:tabs>
              <w:tab w:val="right" w:pos="8306"/>
            </w:tabs>
            <w:rPr>
              <w:rFonts w:hint="eastAsia" w:ascii="仿宋" w:hAnsi="仿宋" w:eastAsia="仿宋" w:cs="仿宋"/>
              <w:sz w:val="24"/>
              <w:szCs w:val="24"/>
            </w:rPr>
          </w:pPr>
          <w:r>
            <w:rPr>
              <w:rFonts w:hint="eastAsia" w:ascii="宋体" w:hAnsi="宋体" w:eastAsia="宋体" w:cs="宋体"/>
              <w:sz w:val="24"/>
              <w:lang w:eastAsia="zh-CN"/>
            </w:rPr>
            <w:fldChar w:fldCharType="begin"/>
          </w:r>
          <w:r>
            <w:rPr>
              <w:rFonts w:hint="eastAsia" w:ascii="宋体" w:hAnsi="宋体" w:eastAsia="宋体" w:cs="宋体"/>
              <w:sz w:val="24"/>
              <w:lang w:eastAsia="zh-CN"/>
            </w:rPr>
            <w:instrText xml:space="preserve">TOC \o "1-3" \h \u </w:instrText>
          </w:r>
          <w:r>
            <w:rPr>
              <w:rFonts w:hint="eastAsia" w:ascii="宋体" w:hAnsi="宋体" w:eastAsia="宋体" w:cs="宋体"/>
              <w:sz w:val="24"/>
              <w:lang w:eastAsia="zh-CN"/>
            </w:rPr>
            <w:fldChar w:fldCharType="separate"/>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_Toc1516 </w:instrText>
          </w:r>
          <w:r>
            <w:rPr>
              <w:rFonts w:hint="eastAsia" w:ascii="仿宋" w:hAnsi="仿宋" w:eastAsia="仿宋" w:cs="仿宋"/>
              <w:sz w:val="24"/>
              <w:szCs w:val="24"/>
              <w:lang w:eastAsia="zh-CN"/>
            </w:rPr>
            <w:fldChar w:fldCharType="separate"/>
          </w:r>
          <w:r>
            <w:rPr>
              <w:rFonts w:hint="eastAsia" w:ascii="仿宋" w:hAnsi="仿宋" w:eastAsia="仿宋" w:cs="仿宋"/>
              <w:bCs/>
              <w:sz w:val="24"/>
              <w:szCs w:val="24"/>
            </w:rPr>
            <w:t>第一章　比选范围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_Toc1516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_Toc16477 </w:instrText>
          </w:r>
          <w:r>
            <w:rPr>
              <w:rFonts w:hint="eastAsia" w:ascii="仿宋" w:hAnsi="仿宋" w:eastAsia="仿宋" w:cs="仿宋"/>
              <w:sz w:val="24"/>
              <w:szCs w:val="24"/>
              <w:lang w:eastAsia="zh-CN"/>
            </w:rPr>
            <w:fldChar w:fldCharType="separate"/>
          </w:r>
          <w:r>
            <w:rPr>
              <w:rFonts w:hint="eastAsia" w:ascii="仿宋" w:hAnsi="仿宋" w:eastAsia="仿宋" w:cs="仿宋"/>
              <w:bCs/>
              <w:sz w:val="24"/>
              <w:szCs w:val="24"/>
            </w:rPr>
            <w:t>第一节比选项目概述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_Toc16477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_Toc23785 </w:instrText>
          </w:r>
          <w:r>
            <w:rPr>
              <w:rFonts w:hint="eastAsia" w:ascii="仿宋" w:hAnsi="仿宋" w:eastAsia="仿宋" w:cs="仿宋"/>
              <w:sz w:val="24"/>
              <w:szCs w:val="24"/>
              <w:lang w:eastAsia="zh-CN"/>
            </w:rPr>
            <w:fldChar w:fldCharType="separate"/>
          </w:r>
          <w:r>
            <w:rPr>
              <w:rFonts w:hint="eastAsia" w:ascii="仿宋" w:hAnsi="仿宋" w:eastAsia="仿宋" w:cs="仿宋"/>
              <w:bCs/>
              <w:kern w:val="0"/>
              <w:sz w:val="24"/>
              <w:szCs w:val="24"/>
              <w:highlight w:val="none"/>
              <w:lang w:val="en-US" w:eastAsia="zh-CN"/>
            </w:rPr>
            <w:t>一、采购项目名称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_Toc23785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_Toc14430 </w:instrText>
          </w:r>
          <w:r>
            <w:rPr>
              <w:rFonts w:hint="eastAsia" w:ascii="仿宋" w:hAnsi="仿宋" w:eastAsia="仿宋" w:cs="仿宋"/>
              <w:sz w:val="24"/>
              <w:szCs w:val="24"/>
              <w:lang w:eastAsia="zh-CN"/>
            </w:rPr>
            <w:fldChar w:fldCharType="separate"/>
          </w:r>
          <w:r>
            <w:rPr>
              <w:rFonts w:hint="eastAsia" w:ascii="仿宋" w:hAnsi="仿宋" w:eastAsia="仿宋" w:cs="仿宋"/>
              <w:bCs/>
              <w:kern w:val="0"/>
              <w:sz w:val="24"/>
              <w:szCs w:val="24"/>
              <w:highlight w:val="none"/>
              <w:lang w:val="en-US" w:eastAsia="zh-CN"/>
            </w:rPr>
            <w:t>二、比选文件解释权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_Toc14430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_Toc5287 </w:instrText>
          </w:r>
          <w:r>
            <w:rPr>
              <w:rFonts w:hint="eastAsia" w:ascii="仿宋" w:hAnsi="仿宋" w:eastAsia="仿宋" w:cs="仿宋"/>
              <w:sz w:val="24"/>
              <w:szCs w:val="24"/>
              <w:lang w:eastAsia="zh-CN"/>
            </w:rPr>
            <w:fldChar w:fldCharType="separate"/>
          </w:r>
          <w:r>
            <w:rPr>
              <w:rFonts w:hint="eastAsia" w:ascii="仿宋" w:hAnsi="仿宋" w:eastAsia="仿宋" w:cs="仿宋"/>
              <w:bCs/>
              <w:kern w:val="0"/>
              <w:sz w:val="24"/>
              <w:szCs w:val="24"/>
              <w:highlight w:val="none"/>
              <w:lang w:val="en-US" w:eastAsia="zh-CN"/>
            </w:rPr>
            <w:t>三、采购人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_Toc5287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_Toc28160 </w:instrText>
          </w:r>
          <w:r>
            <w:rPr>
              <w:rFonts w:hint="eastAsia" w:ascii="仿宋" w:hAnsi="仿宋" w:eastAsia="仿宋" w:cs="仿宋"/>
              <w:sz w:val="24"/>
              <w:szCs w:val="24"/>
              <w:lang w:eastAsia="zh-CN"/>
            </w:rPr>
            <w:fldChar w:fldCharType="separate"/>
          </w:r>
          <w:r>
            <w:rPr>
              <w:rFonts w:hint="eastAsia" w:ascii="仿宋" w:hAnsi="仿宋" w:eastAsia="仿宋" w:cs="仿宋"/>
              <w:bCs/>
              <w:kern w:val="0"/>
              <w:sz w:val="24"/>
              <w:szCs w:val="24"/>
              <w:highlight w:val="none"/>
              <w:lang w:val="en-US" w:eastAsia="zh-CN"/>
            </w:rPr>
            <w:t>第二节项目要求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_Toc28160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_Toc10436 </w:instrText>
          </w:r>
          <w:r>
            <w:rPr>
              <w:rFonts w:hint="eastAsia" w:ascii="仿宋" w:hAnsi="仿宋" w:eastAsia="仿宋" w:cs="仿宋"/>
              <w:sz w:val="24"/>
              <w:szCs w:val="24"/>
              <w:lang w:eastAsia="zh-CN"/>
            </w:rPr>
            <w:fldChar w:fldCharType="separate"/>
          </w:r>
          <w:r>
            <w:rPr>
              <w:rFonts w:hint="eastAsia" w:ascii="仿宋" w:hAnsi="仿宋" w:eastAsia="仿宋" w:cs="仿宋"/>
              <w:bCs/>
              <w:kern w:val="0"/>
              <w:sz w:val="24"/>
              <w:szCs w:val="24"/>
              <w:highlight w:val="none"/>
              <w:lang w:val="en-US" w:eastAsia="zh-CN"/>
            </w:rPr>
            <w:t>一、服务要求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_Toc10436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_Toc12220 </w:instrText>
          </w:r>
          <w:r>
            <w:rPr>
              <w:rFonts w:hint="eastAsia" w:ascii="仿宋" w:hAnsi="仿宋" w:eastAsia="仿宋" w:cs="仿宋"/>
              <w:sz w:val="24"/>
              <w:szCs w:val="24"/>
              <w:lang w:eastAsia="zh-CN"/>
            </w:rPr>
            <w:fldChar w:fldCharType="separate"/>
          </w:r>
          <w:r>
            <w:rPr>
              <w:rFonts w:hint="eastAsia" w:ascii="仿宋" w:hAnsi="仿宋" w:eastAsia="仿宋" w:cs="仿宋"/>
              <w:bCs/>
              <w:kern w:val="0"/>
              <w:sz w:val="24"/>
              <w:szCs w:val="24"/>
              <w:highlight w:val="none"/>
              <w:lang w:val="en-US" w:eastAsia="zh-CN"/>
            </w:rPr>
            <w:t>二、其他要求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_Toc12220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keepNext w:val="0"/>
            <w:keepLines w:val="0"/>
            <w:pageBreakBefore w:val="0"/>
            <w:widowControl w:val="0"/>
            <w:tabs>
              <w:tab w:val="right" w:pos="8306"/>
            </w:tabs>
            <w:kinsoku/>
            <w:wordWrap/>
            <w:overflowPunct/>
            <w:topLinePunct w:val="0"/>
            <w:autoSpaceDE/>
            <w:autoSpaceDN/>
            <w:bidi w:val="0"/>
            <w:adjustRightInd/>
            <w:snapToGrid/>
            <w:ind w:left="0" w:leftChars="0"/>
            <w:textAlignment w:val="auto"/>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_Toc4605 </w:instrText>
          </w:r>
          <w:r>
            <w:rPr>
              <w:rFonts w:hint="eastAsia" w:ascii="仿宋" w:hAnsi="仿宋" w:eastAsia="仿宋" w:cs="仿宋"/>
              <w:sz w:val="24"/>
              <w:szCs w:val="24"/>
              <w:lang w:eastAsia="zh-CN"/>
            </w:rPr>
            <w:fldChar w:fldCharType="separate"/>
          </w:r>
          <w:r>
            <w:rPr>
              <w:rFonts w:hint="eastAsia" w:ascii="仿宋" w:hAnsi="仿宋" w:eastAsia="仿宋" w:cs="仿宋"/>
              <w:bCs/>
              <w:sz w:val="24"/>
              <w:szCs w:val="24"/>
            </w:rPr>
            <w:t>第二章商务条款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_Toc4605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_Toc28399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一、适用范围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_Toc28399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_Toc20838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二、定义</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_Toc20838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_Toc28876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三、合格的参选人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_Toc28876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_Toc26157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四、比选文件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_Toc26157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_Toc21373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五、澄清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_Toc21373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_Toc2725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六、修改或补充</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_Toc2725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_Toc29081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七、响应文件的组成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_Toc29081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_Toc14952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八、份数及标记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_Toc14952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_Toc15912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九、响应文件的包封</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_Toc15912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_Toc21203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十、递交响应文件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_Toc21203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_Toc17852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十一、报价</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_Toc17852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5"/>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_Toc26674 </w:instrText>
          </w:r>
          <w:r>
            <w:rPr>
              <w:rFonts w:hint="eastAsia" w:ascii="仿宋" w:hAnsi="仿宋" w:eastAsia="仿宋" w:cs="仿宋"/>
              <w:sz w:val="24"/>
              <w:szCs w:val="24"/>
              <w:lang w:eastAsia="zh-CN"/>
            </w:rPr>
            <w:fldChar w:fldCharType="separate"/>
          </w:r>
          <w:r>
            <w:rPr>
              <w:rFonts w:hint="eastAsia" w:ascii="仿宋" w:hAnsi="仿宋" w:eastAsia="仿宋" w:cs="仿宋"/>
              <w:bCs/>
              <w:sz w:val="24"/>
              <w:szCs w:val="24"/>
            </w:rPr>
            <w:t>第三章</w:t>
          </w:r>
          <w:r>
            <w:rPr>
              <w:rFonts w:hint="eastAsia" w:ascii="仿宋" w:hAnsi="仿宋" w:eastAsia="仿宋" w:cs="仿宋"/>
              <w:bCs/>
              <w:sz w:val="24"/>
              <w:szCs w:val="24"/>
              <w:lang w:val="en-US" w:eastAsia="zh-CN"/>
            </w:rPr>
            <w:t>比选</w:t>
          </w:r>
          <w:r>
            <w:rPr>
              <w:rFonts w:hint="eastAsia" w:ascii="仿宋" w:hAnsi="仿宋" w:eastAsia="仿宋" w:cs="仿宋"/>
              <w:bCs/>
              <w:kern w:val="0"/>
              <w:sz w:val="24"/>
              <w:szCs w:val="24"/>
            </w:rPr>
            <w:t>办法及评分标准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_Toc26674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keepNext w:val="0"/>
            <w:keepLines w:val="0"/>
            <w:pageBreakBefore w:val="0"/>
            <w:widowControl w:val="0"/>
            <w:tabs>
              <w:tab w:val="right" w:pos="8306"/>
            </w:tabs>
            <w:kinsoku/>
            <w:wordWrap/>
            <w:overflowPunct/>
            <w:topLinePunct w:val="0"/>
            <w:autoSpaceDE/>
            <w:autoSpaceDN/>
            <w:bidi w:val="0"/>
            <w:adjustRightInd/>
            <w:snapToGrid/>
            <w:ind w:left="420" w:leftChars="200"/>
            <w:textAlignment w:val="auto"/>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_Toc9584 </w:instrText>
          </w:r>
          <w:r>
            <w:rPr>
              <w:rFonts w:hint="eastAsia" w:ascii="仿宋" w:hAnsi="仿宋" w:eastAsia="仿宋" w:cs="仿宋"/>
              <w:sz w:val="24"/>
              <w:szCs w:val="24"/>
              <w:lang w:eastAsia="zh-CN"/>
            </w:rPr>
            <w:fldChar w:fldCharType="separate"/>
          </w:r>
          <w:r>
            <w:rPr>
              <w:rFonts w:hint="eastAsia" w:ascii="仿宋" w:hAnsi="仿宋" w:eastAsia="仿宋" w:cs="仿宋"/>
              <w:bCs w:val="0"/>
              <w:sz w:val="24"/>
              <w:szCs w:val="24"/>
              <w:lang w:val="en-US" w:eastAsia="zh-CN"/>
            </w:rPr>
            <w:t>第一节比选办法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_Toc9584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keepNext w:val="0"/>
            <w:keepLines w:val="0"/>
            <w:pageBreakBefore w:val="0"/>
            <w:widowControl w:val="0"/>
            <w:tabs>
              <w:tab w:val="right" w:pos="8306"/>
            </w:tabs>
            <w:kinsoku/>
            <w:wordWrap/>
            <w:overflowPunct/>
            <w:topLinePunct w:val="0"/>
            <w:autoSpaceDE/>
            <w:autoSpaceDN/>
            <w:bidi w:val="0"/>
            <w:adjustRightInd/>
            <w:snapToGrid/>
            <w:ind w:left="420" w:leftChars="200"/>
            <w:textAlignment w:val="auto"/>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_Toc32067 </w:instrText>
          </w:r>
          <w:r>
            <w:rPr>
              <w:rFonts w:hint="eastAsia" w:ascii="仿宋" w:hAnsi="仿宋" w:eastAsia="仿宋" w:cs="仿宋"/>
              <w:sz w:val="24"/>
              <w:szCs w:val="24"/>
              <w:lang w:eastAsia="zh-CN"/>
            </w:rPr>
            <w:fldChar w:fldCharType="separate"/>
          </w:r>
          <w:r>
            <w:rPr>
              <w:rFonts w:hint="eastAsia" w:ascii="仿宋" w:hAnsi="仿宋" w:eastAsia="仿宋" w:cs="仿宋"/>
              <w:bCs w:val="0"/>
              <w:sz w:val="24"/>
              <w:szCs w:val="24"/>
            </w:rPr>
            <w:t>第二节评分标准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_Toc32067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_Toc3791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rPr>
            <w:t>一、评分因素</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_Toc3791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_Toc30731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二、资格审查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_Toc30731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0"/>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_Toc26602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val="en-US" w:eastAsia="zh-CN"/>
            </w:rPr>
            <w:t>三</w:t>
          </w:r>
          <w:r>
            <w:rPr>
              <w:rFonts w:hint="eastAsia" w:ascii="仿宋" w:hAnsi="仿宋" w:eastAsia="仿宋" w:cs="仿宋"/>
              <w:sz w:val="24"/>
              <w:szCs w:val="24"/>
            </w:rPr>
            <w:t>、评分标准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_Toc26602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5"/>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_Toc17930 </w:instrText>
          </w:r>
          <w:r>
            <w:rPr>
              <w:rFonts w:hint="eastAsia" w:ascii="仿宋" w:hAnsi="仿宋" w:eastAsia="仿宋" w:cs="仿宋"/>
              <w:sz w:val="24"/>
              <w:szCs w:val="24"/>
              <w:lang w:eastAsia="zh-CN"/>
            </w:rPr>
            <w:fldChar w:fldCharType="separate"/>
          </w:r>
          <w:r>
            <w:rPr>
              <w:rFonts w:hint="eastAsia" w:ascii="仿宋" w:hAnsi="仿宋" w:eastAsia="仿宋" w:cs="仿宋"/>
              <w:bCs w:val="0"/>
              <w:sz w:val="24"/>
              <w:szCs w:val="24"/>
              <w:lang w:val="en-US" w:eastAsia="zh-CN"/>
            </w:rPr>
            <w:t xml:space="preserve">第四章 </w:t>
          </w:r>
          <w:r>
            <w:rPr>
              <w:rFonts w:hint="eastAsia" w:ascii="仿宋" w:hAnsi="仿宋" w:eastAsia="仿宋" w:cs="仿宋"/>
              <w:bCs w:val="0"/>
              <w:sz w:val="24"/>
              <w:szCs w:val="24"/>
            </w:rPr>
            <w:t>响应文件格式模板（附后）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_Toc17930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_Toc20773 </w:instrText>
          </w:r>
          <w:r>
            <w:rPr>
              <w:rFonts w:hint="eastAsia" w:ascii="仿宋" w:hAnsi="仿宋" w:eastAsia="仿宋" w:cs="仿宋"/>
              <w:sz w:val="24"/>
              <w:szCs w:val="24"/>
              <w:lang w:eastAsia="zh-CN"/>
            </w:rPr>
            <w:fldChar w:fldCharType="separate"/>
          </w:r>
          <w:r>
            <w:rPr>
              <w:rFonts w:hint="eastAsia" w:ascii="仿宋" w:hAnsi="仿宋" w:eastAsia="仿宋" w:cs="仿宋"/>
              <w:bCs/>
              <w:sz w:val="24"/>
              <w:szCs w:val="24"/>
            </w:rPr>
            <w:t>一、法定代表人身份证明及授权委托书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_Toc20773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_Toc21251 </w:instrText>
          </w:r>
          <w:r>
            <w:rPr>
              <w:rFonts w:hint="eastAsia" w:ascii="仿宋" w:hAnsi="仿宋" w:eastAsia="仿宋" w:cs="仿宋"/>
              <w:sz w:val="24"/>
              <w:szCs w:val="24"/>
              <w:lang w:eastAsia="zh-CN"/>
            </w:rPr>
            <w:fldChar w:fldCharType="separate"/>
          </w:r>
          <w:r>
            <w:rPr>
              <w:rFonts w:hint="eastAsia" w:ascii="仿宋" w:hAnsi="仿宋" w:eastAsia="仿宋" w:cs="仿宋"/>
              <w:bCs w:val="0"/>
              <w:sz w:val="24"/>
              <w:szCs w:val="24"/>
              <w:lang w:val="en-US" w:eastAsia="zh-CN"/>
            </w:rPr>
            <w:t>二、报价响应书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_Toc21251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_Toc184 </w:instrText>
          </w:r>
          <w:r>
            <w:rPr>
              <w:rFonts w:hint="eastAsia" w:ascii="仿宋" w:hAnsi="仿宋" w:eastAsia="仿宋" w:cs="仿宋"/>
              <w:sz w:val="24"/>
              <w:szCs w:val="24"/>
              <w:lang w:eastAsia="zh-CN"/>
            </w:rPr>
            <w:fldChar w:fldCharType="separate"/>
          </w:r>
          <w:r>
            <w:rPr>
              <w:rFonts w:hint="eastAsia" w:ascii="仿宋" w:hAnsi="仿宋" w:eastAsia="仿宋" w:cs="仿宋"/>
              <w:bCs/>
              <w:sz w:val="24"/>
              <w:szCs w:val="24"/>
            </w:rPr>
            <w:t>三、</w:t>
          </w:r>
          <w:r>
            <w:rPr>
              <w:rFonts w:hint="eastAsia" w:ascii="仿宋" w:hAnsi="仿宋" w:eastAsia="仿宋" w:cs="仿宋"/>
              <w:bCs/>
              <w:sz w:val="24"/>
              <w:szCs w:val="24"/>
              <w:lang w:val="en-US" w:eastAsia="zh-CN"/>
            </w:rPr>
            <w:t>服务供应商</w:t>
          </w:r>
          <w:r>
            <w:rPr>
              <w:rFonts w:hint="eastAsia" w:ascii="仿宋" w:hAnsi="仿宋" w:eastAsia="仿宋" w:cs="仿宋"/>
              <w:bCs/>
              <w:sz w:val="24"/>
              <w:szCs w:val="24"/>
            </w:rPr>
            <w:t>基本情况表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_Toc184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_Toc3419 </w:instrText>
          </w:r>
          <w:r>
            <w:rPr>
              <w:rFonts w:hint="eastAsia" w:ascii="仿宋" w:hAnsi="仿宋" w:eastAsia="仿宋" w:cs="仿宋"/>
              <w:sz w:val="24"/>
              <w:szCs w:val="24"/>
              <w:lang w:eastAsia="zh-CN"/>
            </w:rPr>
            <w:fldChar w:fldCharType="separate"/>
          </w:r>
          <w:r>
            <w:rPr>
              <w:rFonts w:hint="eastAsia" w:ascii="仿宋" w:hAnsi="仿宋" w:eastAsia="仿宋" w:cs="仿宋"/>
              <w:bCs/>
              <w:sz w:val="24"/>
              <w:szCs w:val="24"/>
              <w:lang w:val="en-US" w:eastAsia="zh-CN"/>
            </w:rPr>
            <w:t>四、服务方案</w:t>
          </w:r>
          <w:r>
            <w:rPr>
              <w:rFonts w:hint="eastAsia" w:ascii="仿宋" w:hAnsi="仿宋" w:eastAsia="仿宋" w:cs="仿宋"/>
              <w:bCs/>
              <w:sz w:val="24"/>
              <w:szCs w:val="24"/>
            </w:rPr>
            <w:t>（格式自拟）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_Toc3419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rPr>
              <w:rFonts w:hint="eastAsia" w:ascii="仿宋" w:hAnsi="仿宋" w:eastAsia="仿宋" w:cs="仿宋"/>
              <w:sz w:val="24"/>
              <w:szCs w:val="24"/>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_Toc6491 </w:instrText>
          </w:r>
          <w:r>
            <w:rPr>
              <w:rFonts w:hint="eastAsia" w:ascii="仿宋" w:hAnsi="仿宋" w:eastAsia="仿宋" w:cs="仿宋"/>
              <w:sz w:val="24"/>
              <w:szCs w:val="24"/>
              <w:lang w:eastAsia="zh-CN"/>
            </w:rPr>
            <w:fldChar w:fldCharType="separate"/>
          </w:r>
          <w:r>
            <w:rPr>
              <w:rFonts w:hint="eastAsia" w:ascii="仿宋" w:hAnsi="仿宋" w:eastAsia="仿宋" w:cs="仿宋"/>
              <w:bCs/>
              <w:kern w:val="2"/>
              <w:sz w:val="24"/>
              <w:szCs w:val="24"/>
              <w:lang w:val="en-US" w:eastAsia="zh-CN" w:bidi="ar-SA"/>
            </w:rPr>
            <w:t>五、</w:t>
          </w:r>
          <w:r>
            <w:rPr>
              <w:rFonts w:hint="eastAsia" w:ascii="仿宋" w:hAnsi="仿宋" w:eastAsia="仿宋" w:cs="仿宋"/>
              <w:bCs/>
              <w:sz w:val="24"/>
              <w:szCs w:val="24"/>
              <w:lang w:val="en-US" w:eastAsia="zh-CN"/>
            </w:rPr>
            <w:t>设计方案</w:t>
          </w:r>
          <w:r>
            <w:rPr>
              <w:rFonts w:hint="eastAsia" w:ascii="仿宋" w:hAnsi="仿宋" w:eastAsia="仿宋" w:cs="仿宋"/>
              <w:bCs/>
              <w:sz w:val="24"/>
              <w:szCs w:val="24"/>
            </w:rPr>
            <w:t>（格式自拟）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_Toc6491 \h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pStyle w:val="17"/>
            <w:tabs>
              <w:tab w:val="right" w:pos="8306"/>
            </w:tabs>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HYPERLINK \l _Toc23139 </w:instrText>
          </w:r>
          <w:r>
            <w:rPr>
              <w:rFonts w:hint="eastAsia" w:ascii="仿宋" w:hAnsi="仿宋" w:eastAsia="仿宋" w:cs="仿宋"/>
              <w:sz w:val="24"/>
              <w:szCs w:val="24"/>
              <w:lang w:eastAsia="zh-CN"/>
            </w:rPr>
            <w:fldChar w:fldCharType="separate"/>
          </w:r>
          <w:r>
            <w:rPr>
              <w:rFonts w:hint="eastAsia" w:ascii="仿宋" w:hAnsi="仿宋" w:eastAsia="仿宋" w:cs="仿宋"/>
              <w:bCs/>
              <w:sz w:val="24"/>
              <w:szCs w:val="24"/>
            </w:rPr>
            <w:t>六、参选人认为有必要提供的其他资料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_Toc23139 \h </w:instrText>
          </w:r>
          <w:r>
            <w:rPr>
              <w:rFonts w:hint="eastAsia" w:ascii="仿宋" w:hAnsi="仿宋" w:eastAsia="仿宋" w:cs="仿宋"/>
              <w:sz w:val="24"/>
              <w:szCs w:val="24"/>
            </w:rPr>
            <w:fldChar w:fldCharType="separate"/>
          </w:r>
          <w:r>
            <w:rPr>
              <w:rFonts w:hint="eastAsia" w:ascii="仿宋" w:hAnsi="仿宋" w:eastAsia="仿宋" w:cs="仿宋"/>
              <w:sz w:val="24"/>
              <w:szCs w:val="24"/>
            </w:rPr>
            <w:t>24</w:t>
          </w:r>
          <w:r>
            <w:rPr>
              <w:rFonts w:hint="eastAsia" w:ascii="仿宋" w:hAnsi="仿宋" w:eastAsia="仿宋" w:cs="仿宋"/>
              <w:sz w:val="24"/>
              <w:szCs w:val="24"/>
            </w:rPr>
            <w:fldChar w:fldCharType="end"/>
          </w:r>
          <w:r>
            <w:rPr>
              <w:rFonts w:hint="eastAsia" w:ascii="仿宋" w:hAnsi="仿宋" w:eastAsia="仿宋" w:cs="仿宋"/>
              <w:sz w:val="24"/>
              <w:szCs w:val="24"/>
              <w:lang w:eastAsia="zh-CN"/>
            </w:rPr>
            <w:fldChar w:fldCharType="end"/>
          </w:r>
        </w:p>
        <w:p>
          <w:pPr>
            <w:spacing w:line="400" w:lineRule="exact"/>
            <w:ind w:firstLine="420"/>
            <w:rPr>
              <w:rFonts w:hint="eastAsia" w:ascii="宋体" w:hAnsi="宋体" w:eastAsia="宋体" w:cs="宋体"/>
              <w:lang w:eastAsia="zh-CN"/>
            </w:rPr>
          </w:pPr>
          <w:r>
            <w:rPr>
              <w:rFonts w:hint="eastAsia" w:ascii="宋体" w:hAnsi="宋体" w:eastAsia="宋体" w:cs="宋体"/>
              <w:lang w:eastAsia="zh-CN"/>
            </w:rPr>
            <w:fldChar w:fldCharType="end"/>
          </w:r>
        </w:p>
        <w:p>
          <w:pPr>
            <w:spacing w:line="400" w:lineRule="exact"/>
            <w:ind w:firstLine="420"/>
            <w:rPr>
              <w:rFonts w:hint="eastAsia" w:ascii="宋体" w:hAnsi="宋体" w:eastAsia="宋体" w:cs="宋体"/>
              <w:lang w:eastAsia="zh-CN"/>
            </w:rPr>
          </w:pPr>
        </w:p>
        <w:p>
          <w:pPr>
            <w:spacing w:line="400" w:lineRule="exact"/>
            <w:ind w:firstLine="420"/>
            <w:rPr>
              <w:rFonts w:hint="eastAsia" w:ascii="宋体" w:hAnsi="宋体" w:eastAsia="宋体" w:cs="宋体"/>
              <w:lang w:eastAsia="zh-CN"/>
            </w:rPr>
          </w:pPr>
        </w:p>
        <w:p>
          <w:pPr>
            <w:spacing w:line="400" w:lineRule="exact"/>
            <w:ind w:firstLine="420"/>
            <w:rPr>
              <w:rFonts w:hint="eastAsia" w:ascii="宋体" w:hAnsi="宋体" w:eastAsia="宋体" w:cs="宋体"/>
              <w:sz w:val="24"/>
              <w:lang w:eastAsia="zh-CN"/>
            </w:rPr>
          </w:pPr>
        </w:p>
      </w:sdtContent>
    </w:sdt>
    <w:p>
      <w:pPr>
        <w:spacing w:line="240" w:lineRule="auto"/>
        <w:jc w:val="center"/>
      </w:pPr>
      <w:r>
        <w:rPr>
          <w:rFonts w:hint="eastAsia" w:ascii="宋体" w:hAnsi="宋体" w:cs="宋体"/>
          <w:sz w:val="24"/>
        </w:rPr>
        <w:fldChar w:fldCharType="begin"/>
      </w:r>
      <w:r>
        <w:rPr>
          <w:rFonts w:hint="eastAsia" w:ascii="宋体" w:hAnsi="宋体" w:cs="宋体"/>
          <w:sz w:val="24"/>
        </w:rPr>
        <w:instrText xml:space="preserve">TOC \o "1-1" \h \u </w:instrText>
      </w:r>
      <w:r>
        <w:rPr>
          <w:rFonts w:hint="eastAsia" w:ascii="宋体" w:hAnsi="宋体" w:cs="宋体"/>
          <w:sz w:val="24"/>
        </w:rPr>
        <w:fldChar w:fldCharType="separate"/>
      </w:r>
    </w:p>
    <w:p>
      <w:pPr>
        <w:spacing w:line="560" w:lineRule="exact"/>
        <w:jc w:val="both"/>
        <w:outlineLvl w:val="9"/>
        <w:rPr>
          <w:rFonts w:hint="eastAsia" w:ascii="方正小标宋简体" w:hAnsi="方正小标宋简体" w:eastAsia="方正小标宋简体" w:cs="方正小标宋简体"/>
          <w:b w:val="0"/>
          <w:bCs w:val="0"/>
          <w:color w:val="333333"/>
          <w:sz w:val="44"/>
          <w:szCs w:val="44"/>
          <w:highlight w:val="none"/>
          <w:shd w:val="clear" w:color="auto" w:fill="FFFFFF"/>
        </w:rPr>
      </w:pPr>
      <w:r>
        <w:rPr>
          <w:rFonts w:hint="eastAsia" w:ascii="宋体" w:hAnsi="宋体" w:cs="宋体"/>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outlineLvl w:val="0"/>
        <w:rPr>
          <w:rFonts w:hint="default" w:ascii="方正小标宋简体" w:hAnsi="方正小标宋简体" w:eastAsia="方正小标宋简体" w:cs="方正小标宋简体"/>
          <w:b w:val="0"/>
          <w:bCs/>
          <w:spacing w:val="20"/>
          <w:sz w:val="44"/>
          <w:szCs w:val="44"/>
          <w:highlight w:val="none"/>
          <w:lang w:val="en-US" w:eastAsia="zh-CN"/>
        </w:rPr>
      </w:pPr>
      <w:bookmarkStart w:id="9" w:name="_Toc3402"/>
      <w:bookmarkStart w:id="10" w:name="_Toc27107"/>
      <w:bookmarkStart w:id="11" w:name="_Toc24372"/>
      <w:bookmarkStart w:id="12" w:name="_Toc5034"/>
      <w:r>
        <w:rPr>
          <w:rFonts w:hint="eastAsia" w:ascii="方正小标宋简体" w:hAnsi="方正小标宋简体" w:eastAsia="方正小标宋简体" w:cs="方正小标宋简体"/>
          <w:b w:val="0"/>
          <w:bCs/>
          <w:spacing w:val="20"/>
          <w:sz w:val="44"/>
          <w:szCs w:val="44"/>
          <w:highlight w:val="none"/>
          <w:lang w:val="en-US" w:eastAsia="zh-CN"/>
        </w:rPr>
        <w:t>贵州青源环境治理有限公司</w:t>
      </w:r>
      <w:bookmarkEnd w:id="9"/>
      <w:bookmarkEnd w:id="10"/>
      <w:bookmarkEnd w:id="11"/>
      <w:bookmarkEnd w:id="12"/>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outlineLvl w:val="0"/>
        <w:rPr>
          <w:rFonts w:hint="default" w:ascii="方正小标宋简体" w:hAnsi="方正小标宋简体" w:eastAsia="方正小标宋简体" w:cs="方正小标宋简体"/>
          <w:b w:val="0"/>
          <w:bCs/>
          <w:spacing w:val="20"/>
          <w:kern w:val="2"/>
          <w:sz w:val="44"/>
          <w:szCs w:val="44"/>
          <w:highlight w:val="none"/>
          <w:lang w:val="en-US" w:eastAsia="zh-CN" w:bidi="ar-SA"/>
        </w:rPr>
      </w:pPr>
      <w:bookmarkStart w:id="13" w:name="_Toc10247"/>
      <w:bookmarkStart w:id="14" w:name="_Toc25955"/>
      <w:bookmarkStart w:id="15" w:name="_Toc4610"/>
      <w:bookmarkStart w:id="16" w:name="_Toc7502"/>
      <w:r>
        <w:rPr>
          <w:rFonts w:hint="eastAsia" w:ascii="方正小标宋简体" w:hAnsi="方正小标宋简体" w:eastAsia="方正小标宋简体" w:cs="方正小标宋简体"/>
          <w:b w:val="0"/>
          <w:bCs/>
          <w:spacing w:val="23"/>
          <w:w w:val="95"/>
          <w:sz w:val="44"/>
          <w:szCs w:val="44"/>
          <w:highlight w:val="none"/>
          <w:lang w:val="en-US" w:eastAsia="zh-CN"/>
        </w:rPr>
        <w:t>松山再生水利用配置试点项目宣传文化建设服务商采购</w:t>
      </w:r>
      <w:r>
        <w:rPr>
          <w:rFonts w:hint="eastAsia" w:ascii="方正小标宋简体" w:hAnsi="方正小标宋简体" w:eastAsia="方正小标宋简体" w:cs="方正小标宋简体"/>
          <w:b w:val="0"/>
          <w:bCs/>
          <w:spacing w:val="20"/>
          <w:kern w:val="2"/>
          <w:sz w:val="44"/>
          <w:szCs w:val="44"/>
          <w:highlight w:val="none"/>
          <w:lang w:val="en-US" w:eastAsia="zh-CN" w:bidi="ar-SA"/>
        </w:rPr>
        <w:t>比选文件</w:t>
      </w:r>
      <w:bookmarkEnd w:id="13"/>
      <w:bookmarkEnd w:id="14"/>
      <w:bookmarkEnd w:id="15"/>
      <w:bookmarkEnd w:id="16"/>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各潜在参选人：</w:t>
      </w:r>
    </w:p>
    <w:p>
      <w:pPr>
        <w:ind w:left="0" w:leftChars="0" w:firstLine="640" w:firstLineChars="200"/>
        <w:jc w:val="both"/>
        <w:outlineLvl w:val="9"/>
        <w:rPr>
          <w:rFonts w:hint="eastAsia" w:ascii="黑体" w:hAnsi="黑体" w:eastAsia="黑体" w:cs="黑体"/>
          <w:b w:val="0"/>
          <w:bCs w:val="0"/>
          <w:color w:val="333333"/>
          <w:sz w:val="44"/>
          <w:szCs w:val="44"/>
          <w:highlight w:val="none"/>
          <w:shd w:val="clear" w:color="auto" w:fill="FFFFFF"/>
          <w:lang w:val="en-US" w:eastAsia="zh-CN"/>
        </w:rPr>
      </w:pPr>
      <w:r>
        <w:rPr>
          <w:rFonts w:hint="eastAsia" w:ascii="仿宋" w:hAnsi="仿宋" w:eastAsia="仿宋" w:cs="仿宋"/>
          <w:sz w:val="32"/>
          <w:szCs w:val="32"/>
          <w:lang w:val="en-US" w:eastAsia="zh-CN"/>
        </w:rPr>
        <w:t>根据贵州青源环境治理有限公司松山再生水利用配置试点项目宣传文化建设需要，现针对宣传文化建设的制作以比选方式进行采购，符合本次采购要求的供应服务商前来报价。如你单位愿意参与本项</w:t>
      </w:r>
      <w:r>
        <w:rPr>
          <w:rFonts w:hint="eastAsia" w:ascii="仿宋" w:hAnsi="仿宋" w:eastAsia="仿宋" w:cs="仿宋"/>
          <w:sz w:val="32"/>
          <w:szCs w:val="32"/>
        </w:rPr>
        <w:t>目的采购活动，请按要求办理相关事宜。</w:t>
      </w:r>
    </w:p>
    <w:p>
      <w:pPr>
        <w:pStyle w:val="4"/>
        <w:pageBreakBefore w:val="0"/>
        <w:widowControl w:val="0"/>
        <w:kinsoku/>
        <w:wordWrap/>
        <w:overflowPunct/>
        <w:topLinePunct w:val="0"/>
        <w:autoSpaceDE/>
        <w:autoSpaceDN/>
        <w:bidi w:val="0"/>
        <w:adjustRightInd/>
        <w:snapToGrid/>
        <w:spacing w:line="540" w:lineRule="exact"/>
        <w:textAlignment w:val="auto"/>
        <w:outlineLvl w:val="0"/>
        <w:rPr>
          <w:rFonts w:hint="eastAsia" w:ascii="黑体" w:hAnsi="黑体" w:eastAsia="黑体" w:cs="黑体"/>
          <w:b w:val="0"/>
          <w:bCs/>
          <w:color w:val="000000"/>
          <w:sz w:val="32"/>
          <w:szCs w:val="32"/>
        </w:rPr>
      </w:pPr>
      <w:bookmarkStart w:id="17" w:name="_Toc406670711"/>
      <w:bookmarkStart w:id="18" w:name="_Toc1516"/>
      <w:bookmarkStart w:id="19" w:name="_Toc523327939"/>
      <w:bookmarkStart w:id="20" w:name="_Toc523328213"/>
      <w:bookmarkStart w:id="21" w:name="_Toc424213009"/>
      <w:bookmarkStart w:id="22" w:name="_Toc406671675"/>
      <w:bookmarkStart w:id="23" w:name="_Toc523327777"/>
      <w:bookmarkStart w:id="24" w:name="_Toc13648896"/>
      <w:bookmarkStart w:id="25" w:name="_Toc406672381"/>
      <w:bookmarkStart w:id="26" w:name="_Toc406671083"/>
      <w:bookmarkStart w:id="27" w:name="_Toc9032805"/>
      <w:bookmarkStart w:id="28" w:name="_Toc523328529"/>
      <w:r>
        <w:rPr>
          <w:rFonts w:hint="eastAsia" w:ascii="方正小标宋简体" w:hAnsi="方正小标宋简体" w:eastAsia="方正小标宋简体" w:cs="方正小标宋简体"/>
          <w:b w:val="0"/>
          <w:bCs/>
          <w:color w:val="000000"/>
          <w:sz w:val="32"/>
          <w:szCs w:val="32"/>
        </w:rPr>
        <w:t>第一章　比选范围</w:t>
      </w:r>
      <w:bookmarkEnd w:id="17"/>
      <w:bookmarkEnd w:id="18"/>
      <w:bookmarkEnd w:id="19"/>
      <w:bookmarkEnd w:id="20"/>
      <w:bookmarkEnd w:id="21"/>
      <w:bookmarkEnd w:id="22"/>
      <w:bookmarkEnd w:id="23"/>
      <w:bookmarkEnd w:id="24"/>
      <w:bookmarkEnd w:id="25"/>
      <w:bookmarkEnd w:id="26"/>
      <w:bookmarkEnd w:id="27"/>
      <w:bookmarkEnd w:id="28"/>
      <w:bookmarkStart w:id="29" w:name="_Toc523327778"/>
      <w:bookmarkStart w:id="30" w:name="_Toc523327940"/>
      <w:bookmarkStart w:id="31" w:name="_Toc9032806"/>
      <w:bookmarkStart w:id="32" w:name="_Toc406670712"/>
      <w:bookmarkStart w:id="33" w:name="_Toc523328530"/>
      <w:bookmarkStart w:id="34" w:name="_Toc406672382"/>
      <w:bookmarkStart w:id="35" w:name="_Toc523328214"/>
      <w:bookmarkStart w:id="36" w:name="_Toc406671676"/>
      <w:bookmarkStart w:id="37" w:name="_Toc13648897"/>
      <w:bookmarkStart w:id="38" w:name="_Toc424213010"/>
      <w:bookmarkStart w:id="39" w:name="_Toc406671084"/>
    </w:p>
    <w:p>
      <w:pPr>
        <w:pageBreakBefore w:val="0"/>
        <w:widowControl w:val="0"/>
        <w:kinsoku/>
        <w:wordWrap/>
        <w:overflowPunct/>
        <w:topLinePunct w:val="0"/>
        <w:autoSpaceDE/>
        <w:autoSpaceDN/>
        <w:bidi w:val="0"/>
        <w:spacing w:line="540" w:lineRule="exact"/>
        <w:jc w:val="center"/>
        <w:textAlignment w:val="auto"/>
        <w:outlineLvl w:val="1"/>
        <w:rPr>
          <w:rFonts w:hint="eastAsia" w:ascii="宋体" w:hAnsi="宋体" w:eastAsia="宋体" w:cs="宋体"/>
          <w:b/>
          <w:kern w:val="0"/>
          <w:sz w:val="32"/>
          <w:szCs w:val="32"/>
          <w:highlight w:val="none"/>
          <w:lang w:val="en-US" w:eastAsia="zh-CN"/>
        </w:rPr>
      </w:pPr>
      <w:bookmarkStart w:id="40" w:name="_Toc16477"/>
      <w:r>
        <w:rPr>
          <w:rFonts w:hint="eastAsia" w:ascii="黑体" w:hAnsi="黑体" w:eastAsia="黑体" w:cs="黑体"/>
          <w:b w:val="0"/>
          <w:bCs/>
          <w:color w:val="000000"/>
          <w:sz w:val="32"/>
          <w:szCs w:val="32"/>
        </w:rPr>
        <w:t>第一节比选项目概述</w:t>
      </w:r>
      <w:bookmarkEnd w:id="29"/>
      <w:bookmarkEnd w:id="30"/>
      <w:bookmarkEnd w:id="31"/>
      <w:bookmarkEnd w:id="32"/>
      <w:bookmarkEnd w:id="33"/>
      <w:bookmarkEnd w:id="34"/>
      <w:bookmarkEnd w:id="35"/>
      <w:bookmarkEnd w:id="36"/>
      <w:bookmarkEnd w:id="37"/>
      <w:bookmarkEnd w:id="38"/>
      <w:bookmarkEnd w:id="39"/>
      <w:bookmarkEnd w:id="40"/>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2"/>
        <w:rPr>
          <w:rFonts w:hint="eastAsia" w:ascii="黑体" w:hAnsi="黑体" w:eastAsia="黑体" w:cs="黑体"/>
          <w:b w:val="0"/>
          <w:bCs/>
          <w:kern w:val="0"/>
          <w:sz w:val="32"/>
          <w:szCs w:val="32"/>
          <w:highlight w:val="none"/>
          <w:lang w:val="en-US" w:eastAsia="zh-CN"/>
        </w:rPr>
      </w:pPr>
      <w:bookmarkStart w:id="41" w:name="_Toc23785"/>
      <w:r>
        <w:rPr>
          <w:rFonts w:hint="eastAsia" w:ascii="黑体" w:hAnsi="黑体" w:eastAsia="黑体" w:cs="黑体"/>
          <w:b w:val="0"/>
          <w:bCs/>
          <w:kern w:val="0"/>
          <w:sz w:val="32"/>
          <w:szCs w:val="32"/>
          <w:highlight w:val="none"/>
          <w:lang w:val="en-US" w:eastAsia="zh-CN"/>
        </w:rPr>
        <w:t>一、采购项目名称</w:t>
      </w:r>
      <w:bookmarkEnd w:id="41"/>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3"/>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松山再生水利用配置试点项目宣传文化建设服务商采购</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2"/>
        <w:rPr>
          <w:rFonts w:hint="eastAsia" w:ascii="黑体" w:hAnsi="黑体" w:eastAsia="黑体" w:cs="黑体"/>
          <w:b w:val="0"/>
          <w:bCs/>
          <w:kern w:val="0"/>
          <w:sz w:val="32"/>
          <w:szCs w:val="32"/>
          <w:highlight w:val="none"/>
          <w:lang w:val="en-US" w:eastAsia="zh-CN"/>
        </w:rPr>
      </w:pPr>
      <w:bookmarkStart w:id="42" w:name="_Toc14430"/>
      <w:r>
        <w:rPr>
          <w:rFonts w:hint="eastAsia" w:ascii="黑体" w:hAnsi="黑体" w:eastAsia="黑体" w:cs="黑体"/>
          <w:b w:val="0"/>
          <w:bCs/>
          <w:kern w:val="0"/>
          <w:sz w:val="32"/>
          <w:szCs w:val="32"/>
          <w:highlight w:val="none"/>
          <w:lang w:val="en-US" w:eastAsia="zh-CN"/>
        </w:rPr>
        <w:t>二、比选文件解释权</w:t>
      </w:r>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本项目比选文件的最终解释权归采购人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outlineLvl w:val="2"/>
        <w:rPr>
          <w:rFonts w:hint="eastAsia" w:ascii="黑体" w:hAnsi="黑体" w:eastAsia="黑体" w:cs="黑体"/>
          <w:b w:val="0"/>
          <w:bCs/>
          <w:kern w:val="0"/>
          <w:sz w:val="32"/>
          <w:szCs w:val="32"/>
          <w:highlight w:val="none"/>
          <w:lang w:val="en-US" w:eastAsia="zh-CN"/>
        </w:rPr>
      </w:pPr>
      <w:bookmarkStart w:id="43" w:name="_Toc5287"/>
      <w:r>
        <w:rPr>
          <w:rFonts w:hint="eastAsia" w:ascii="黑体" w:hAnsi="黑体" w:eastAsia="黑体" w:cs="黑体"/>
          <w:b w:val="0"/>
          <w:bCs/>
          <w:kern w:val="0"/>
          <w:sz w:val="32"/>
          <w:szCs w:val="32"/>
          <w:highlight w:val="none"/>
          <w:lang w:val="en-US" w:eastAsia="zh-CN"/>
        </w:rPr>
        <w:t>三、采购人</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1.采购人名称：贵州青源环境治理有限公司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2.地址：贵阳市观山湖区兴义路1号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u w:val="single"/>
          <w:lang w:val="en-US" w:eastAsia="zh-CN"/>
        </w:rPr>
      </w:pPr>
      <w:r>
        <w:rPr>
          <w:rFonts w:hint="eastAsia" w:ascii="仿宋" w:hAnsi="仿宋" w:eastAsia="仿宋" w:cs="仿宋"/>
          <w:sz w:val="32"/>
          <w:szCs w:val="32"/>
          <w:lang w:val="en-US" w:eastAsia="zh-CN"/>
        </w:rPr>
        <w:t>3.联系人：</w:t>
      </w:r>
      <w:r>
        <w:rPr>
          <w:rFonts w:hint="eastAsia" w:ascii="仿宋" w:hAnsi="仿宋" w:eastAsia="仿宋" w:cs="仿宋"/>
          <w:color w:val="auto"/>
          <w:sz w:val="32"/>
          <w:szCs w:val="32"/>
          <w:u w:val="none"/>
          <w:lang w:val="en-US" w:eastAsia="zh-CN"/>
        </w:rPr>
        <w:t>江先生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4.联系电话：0851-82217849</w:t>
      </w:r>
    </w:p>
    <w:p>
      <w:pPr>
        <w:pStyle w:val="28"/>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after="0" w:line="540" w:lineRule="exact"/>
        <w:ind w:right="0" w:rightChars="0"/>
        <w:jc w:val="center"/>
        <w:textAlignment w:val="auto"/>
        <w:outlineLvl w:val="1"/>
        <w:rPr>
          <w:rFonts w:hint="eastAsia" w:ascii="黑体" w:hAnsi="黑体" w:eastAsia="黑体" w:cs="黑体"/>
          <w:b w:val="0"/>
          <w:bCs/>
          <w:kern w:val="0"/>
          <w:sz w:val="32"/>
          <w:szCs w:val="32"/>
          <w:highlight w:val="none"/>
          <w:lang w:val="en-US" w:eastAsia="zh-CN"/>
        </w:rPr>
      </w:pPr>
      <w:bookmarkStart w:id="44" w:name="_Toc28160"/>
      <w:r>
        <w:rPr>
          <w:rFonts w:hint="eastAsia" w:ascii="黑体" w:hAnsi="黑体" w:eastAsia="黑体" w:cs="黑体"/>
          <w:b w:val="0"/>
          <w:bCs/>
          <w:kern w:val="0"/>
          <w:sz w:val="32"/>
          <w:szCs w:val="32"/>
          <w:highlight w:val="none"/>
          <w:lang w:val="en-US" w:eastAsia="zh-CN"/>
        </w:rPr>
        <w:t>第二节项目要求</w:t>
      </w:r>
      <w:bookmarkEnd w:id="44"/>
    </w:p>
    <w:p>
      <w:pPr>
        <w:pStyle w:val="28"/>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after="0" w:line="540" w:lineRule="exact"/>
        <w:ind w:right="0" w:rightChars="0" w:firstLine="640" w:firstLineChars="200"/>
        <w:jc w:val="left"/>
        <w:textAlignment w:val="auto"/>
        <w:outlineLvl w:val="2"/>
        <w:rPr>
          <w:rFonts w:hint="eastAsia" w:ascii="黑体" w:hAnsi="黑体" w:eastAsia="黑体" w:cs="黑体"/>
          <w:b w:val="0"/>
          <w:bCs/>
          <w:kern w:val="0"/>
          <w:sz w:val="32"/>
          <w:szCs w:val="32"/>
          <w:highlight w:val="none"/>
          <w:lang w:val="en-US" w:eastAsia="zh-CN"/>
        </w:rPr>
      </w:pPr>
      <w:bookmarkStart w:id="45" w:name="_Toc10436"/>
      <w:r>
        <w:rPr>
          <w:rFonts w:hint="eastAsia" w:ascii="黑体" w:hAnsi="黑体" w:eastAsia="黑体" w:cs="黑体"/>
          <w:b w:val="0"/>
          <w:bCs/>
          <w:kern w:val="0"/>
          <w:sz w:val="32"/>
          <w:szCs w:val="32"/>
          <w:highlight w:val="none"/>
          <w:lang w:val="en-US" w:eastAsia="zh-CN"/>
        </w:rPr>
        <w:t>一、服务要求</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1.服务范围：完成采购人采购服务中涉及的设计、宣传栏定制、文化墙等内容。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2.项目预算：按照设计方案，据实结算。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3.服务供应商必须严格按照法律、法规和相关主管部门规章制度等开展工作。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按照相关工作安排</w:t>
      </w:r>
      <w:r>
        <w:rPr>
          <w:rFonts w:hint="eastAsia" w:ascii="仿宋" w:hAnsi="仿宋" w:eastAsia="仿宋" w:cs="仿宋"/>
          <w:sz w:val="32"/>
          <w:szCs w:val="32"/>
          <w:lang w:val="en-US" w:eastAsia="zh-CN"/>
        </w:rPr>
        <w:t>时间节点完成该项工作。</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5.结算方式：按照中标单价，结合设计方案内容，建设完成验收合格后付款。</w:t>
      </w:r>
    </w:p>
    <w:p>
      <w:pPr>
        <w:ind w:firstLine="640" w:firstLineChars="200"/>
        <w:rPr>
          <w:rFonts w:hint="default"/>
          <w:lang w:val="en-US" w:eastAsia="zh-CN"/>
        </w:rPr>
      </w:pPr>
      <w:r>
        <w:rPr>
          <w:rFonts w:hint="eastAsia" w:ascii="仿宋" w:hAnsi="仿宋" w:eastAsia="仿宋" w:cs="仿宋"/>
          <w:sz w:val="32"/>
          <w:szCs w:val="32"/>
          <w:lang w:val="en-US" w:eastAsia="zh-CN"/>
        </w:rPr>
        <w:t>6.设计方案：设计方案需完整美观，并符合采购方要求后方可施工。</w:t>
      </w:r>
    </w:p>
    <w:p>
      <w:pPr>
        <w:ind w:firstLine="640" w:firstLineChars="200"/>
        <w:rPr>
          <w:rFonts w:hint="default"/>
          <w:lang w:val="en-US" w:eastAsia="zh-CN"/>
        </w:rPr>
      </w:pPr>
      <w:r>
        <w:rPr>
          <w:rFonts w:hint="eastAsia" w:ascii="仿宋" w:hAnsi="仿宋" w:eastAsia="仿宋" w:cs="仿宋"/>
          <w:sz w:val="32"/>
          <w:szCs w:val="32"/>
          <w:lang w:val="en-US" w:eastAsia="zh-CN"/>
        </w:rPr>
        <w:t>7.售后服务：中标人需在项目验收后免费对已建造的广告宣传栏进行不低于2年的质保期维护，并及时响应采购人的维护需求。</w:t>
      </w:r>
    </w:p>
    <w:p>
      <w:pPr>
        <w:pStyle w:val="28"/>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after="0" w:line="540" w:lineRule="exact"/>
        <w:ind w:right="0" w:rightChars="0" w:firstLine="640" w:firstLineChars="200"/>
        <w:jc w:val="left"/>
        <w:textAlignment w:val="auto"/>
        <w:outlineLvl w:val="2"/>
        <w:rPr>
          <w:rFonts w:hint="eastAsia" w:ascii="黑体" w:hAnsi="黑体" w:eastAsia="黑体" w:cs="黑体"/>
          <w:b w:val="0"/>
          <w:bCs/>
          <w:kern w:val="0"/>
          <w:sz w:val="32"/>
          <w:szCs w:val="32"/>
          <w:highlight w:val="none"/>
          <w:lang w:val="en-US" w:eastAsia="zh-CN"/>
        </w:rPr>
      </w:pPr>
      <w:bookmarkStart w:id="46" w:name="_Toc12220"/>
      <w:r>
        <w:rPr>
          <w:rFonts w:hint="eastAsia" w:ascii="黑体" w:hAnsi="黑体" w:eastAsia="黑体" w:cs="黑体"/>
          <w:b w:val="0"/>
          <w:bCs/>
          <w:kern w:val="0"/>
          <w:sz w:val="32"/>
          <w:szCs w:val="32"/>
          <w:highlight w:val="none"/>
          <w:lang w:val="en-US" w:eastAsia="zh-CN"/>
        </w:rPr>
        <w:t>二、其他要求</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1.本项目不接受联合体参选；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2.本项目不允许分包；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3.若在评审阶段，发现参选人提供的相关资料经查实为虚假的，将按无效标处理，不再进入下一阶段评审；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4.若发现中选单位因所提供的虚假资料而中选，将取消其中</w:t>
      </w:r>
      <w:r>
        <w:rPr>
          <w:rFonts w:hint="eastAsia" w:ascii="仿宋" w:hAnsi="仿宋" w:eastAsia="仿宋" w:cs="仿宋"/>
          <w:sz w:val="32"/>
          <w:szCs w:val="32"/>
          <w:highlight w:val="none"/>
          <w:lang w:val="en-US" w:eastAsia="zh-CN"/>
        </w:rPr>
        <w:t>选</w:t>
      </w:r>
      <w:r>
        <w:rPr>
          <w:rFonts w:hint="eastAsia" w:ascii="仿宋" w:hAnsi="仿宋" w:eastAsia="仿宋" w:cs="仿宋"/>
          <w:sz w:val="32"/>
          <w:szCs w:val="32"/>
          <w:lang w:val="en-US" w:eastAsia="zh-CN"/>
        </w:rPr>
        <w:t>资格，情节严重将移交相关监管部门依法处理；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5.参选人必须严格执行采购人有关工作的安排和要求</w:t>
      </w:r>
      <w:bookmarkStart w:id="47" w:name="_Toc13648900"/>
      <w:r>
        <w:rPr>
          <w:rFonts w:hint="eastAsia" w:ascii="仿宋" w:hAnsi="仿宋" w:eastAsia="仿宋" w:cs="仿宋"/>
          <w:sz w:val="32"/>
          <w:szCs w:val="32"/>
          <w:lang w:val="en-US" w:eastAsia="zh-CN"/>
        </w:rPr>
        <w:t>；</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6.广告宣传栏费用报价表中的品类，必须选用优质、综合性价比较高的材质，如有投机取巧者，采购人可取消参选人参选资格。</w:t>
      </w:r>
    </w:p>
    <w:p>
      <w:pPr>
        <w:ind w:firstLine="640" w:firstLineChars="200"/>
        <w:outlineLvl w:val="9"/>
        <w:rPr>
          <w:rFonts w:hint="default" w:ascii="仿宋" w:hAnsi="仿宋" w:eastAsia="仿宋" w:cs="仿宋"/>
          <w:sz w:val="32"/>
          <w:lang w:val="en-US" w:eastAsia="zh-CN"/>
        </w:rPr>
      </w:pPr>
      <w:r>
        <w:rPr>
          <w:rFonts w:hint="eastAsia" w:ascii="仿宋" w:hAnsi="仿宋" w:eastAsia="仿宋" w:cs="仿宋"/>
          <w:sz w:val="32"/>
          <w:szCs w:val="32"/>
          <w:lang w:val="en-US" w:eastAsia="zh-CN"/>
        </w:rPr>
        <w:t>7.施工内容与效果需与设计方案一致，文案不能出现涉政错误，颜色、形状比例不能存在偏差。</w:t>
      </w:r>
    </w:p>
    <w:p>
      <w:pPr>
        <w:pStyle w:val="4"/>
        <w:pageBreakBefore w:val="0"/>
        <w:widowControl w:val="0"/>
        <w:kinsoku/>
        <w:wordWrap/>
        <w:overflowPunct/>
        <w:topLinePunct w:val="0"/>
        <w:autoSpaceDE/>
        <w:autoSpaceDN/>
        <w:bidi w:val="0"/>
        <w:adjustRightInd/>
        <w:snapToGrid/>
        <w:spacing w:line="540" w:lineRule="exact"/>
        <w:textAlignment w:val="auto"/>
        <w:outlineLvl w:val="0"/>
        <w:rPr>
          <w:rFonts w:hint="eastAsia" w:ascii="方正小标宋简体" w:hAnsi="方正小标宋简体" w:eastAsia="方正小标宋简体" w:cs="方正小标宋简体"/>
          <w:b w:val="0"/>
          <w:bCs/>
          <w:color w:val="000000"/>
          <w:sz w:val="32"/>
          <w:szCs w:val="32"/>
        </w:rPr>
      </w:pPr>
      <w:bookmarkStart w:id="48" w:name="_Toc4605"/>
      <w:r>
        <w:rPr>
          <w:rFonts w:hint="eastAsia" w:ascii="方正小标宋简体" w:hAnsi="方正小标宋简体" w:eastAsia="方正小标宋简体" w:cs="方正小标宋简体"/>
          <w:b w:val="0"/>
          <w:bCs/>
          <w:color w:val="000000"/>
          <w:sz w:val="32"/>
          <w:szCs w:val="32"/>
        </w:rPr>
        <w:t>第二章商务条款</w:t>
      </w:r>
      <w:bookmarkEnd w:id="47"/>
      <w:bookmarkEnd w:id="4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49" w:name="_Toc28399"/>
      <w:r>
        <w:rPr>
          <w:rFonts w:hint="eastAsia" w:ascii="黑体" w:hAnsi="黑体" w:eastAsia="黑体" w:cs="黑体"/>
          <w:sz w:val="32"/>
          <w:szCs w:val="32"/>
          <w:lang w:val="en-US" w:eastAsia="zh-CN"/>
        </w:rPr>
        <w:t>一、适用范围</w:t>
      </w:r>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1.本比选文件仅适用于本文件约定的松山再生水利用配置试点宣传文化建设服务商的比选。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0" w:name="_Toc20838"/>
      <w:r>
        <w:rPr>
          <w:rFonts w:hint="eastAsia" w:ascii="黑体" w:hAnsi="黑体" w:eastAsia="黑体" w:cs="黑体"/>
          <w:sz w:val="32"/>
          <w:szCs w:val="32"/>
          <w:lang w:val="en-US" w:eastAsia="zh-CN"/>
        </w:rPr>
        <w:t>二、定义</w:t>
      </w:r>
      <w:bookmarkEnd w:id="5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1.“采购人”指贵州青源环境治理有限公司。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2.“参选人”指向采购人提交响应文件、参与本次评选的供应商。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1" w:name="_Toc28876"/>
      <w:r>
        <w:rPr>
          <w:rFonts w:hint="eastAsia" w:ascii="黑体" w:hAnsi="黑体" w:eastAsia="黑体" w:cs="黑体"/>
          <w:sz w:val="32"/>
          <w:szCs w:val="32"/>
          <w:lang w:val="en-US" w:eastAsia="zh-CN"/>
        </w:rPr>
        <w:t>三、合格的参选人</w:t>
      </w:r>
      <w:bookmarkEnd w:id="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1.响应本次比选、具备相应能力设计及文化建设的服务商。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2.遵守中国法律和有关规章、条例、制度。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3.符合比选文件所规定的条件。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2" w:name="_Toc26157"/>
      <w:r>
        <w:rPr>
          <w:rFonts w:hint="eastAsia" w:ascii="黑体" w:hAnsi="黑体" w:eastAsia="黑体" w:cs="黑体"/>
          <w:sz w:val="32"/>
          <w:szCs w:val="32"/>
          <w:lang w:val="en-US" w:eastAsia="zh-CN"/>
        </w:rPr>
        <w:t>四、比选文件</w:t>
      </w:r>
      <w:bookmarkEnd w:id="5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比选文件包括本文件及所发出的澄清、修改和补充。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3" w:name="_Toc21373"/>
      <w:bookmarkStart w:id="54" w:name="_Toc320952828"/>
      <w:r>
        <w:rPr>
          <w:rFonts w:hint="eastAsia" w:ascii="黑体" w:hAnsi="黑体" w:eastAsia="黑体" w:cs="黑体"/>
          <w:sz w:val="32"/>
          <w:szCs w:val="32"/>
          <w:lang w:val="en-US" w:eastAsia="zh-CN"/>
        </w:rPr>
        <w:t>五、澄清</w:t>
      </w:r>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1.参选人获取比选文件后，应仔细阅读比选文件的全部内容，若发现比选文件缺页或附件不全以及有违反国家法律、法规、规章的条款，应及时向采购人提出。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若对比选文件有疑问需要澄清，可在比选截止前3日以书面形式（包括传真、电报、信函等）向采购人提交质疑文件（须加盖公章）。采购人将在比选文件规定的提交响应文件截止时间1天前，将需澄清内容以书面形式通知所有参选人，但不指明澄清问题的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3.澄清内容作为比选文件的</w:t>
      </w:r>
      <w:r>
        <w:rPr>
          <w:rFonts w:hint="default" w:ascii="仿宋" w:hAnsi="仿宋" w:eastAsia="仿宋" w:cs="仿宋"/>
          <w:sz w:val="32"/>
          <w:szCs w:val="32"/>
          <w:lang w:val="en-US" w:eastAsia="zh-CN"/>
        </w:rPr>
        <w:t>组成部</w:t>
      </w:r>
      <w:r>
        <w:rPr>
          <w:rFonts w:hint="default" w:ascii="仿宋" w:hAnsi="仿宋" w:eastAsia="仿宋" w:cs="仿宋"/>
          <w:sz w:val="32"/>
          <w:szCs w:val="32"/>
          <w:highlight w:val="none"/>
          <w:lang w:val="en-US" w:eastAsia="zh-CN"/>
        </w:rPr>
        <w:t>分</w:t>
      </w:r>
      <w:r>
        <w:rPr>
          <w:rFonts w:hint="eastAsia" w:ascii="仿宋" w:hAnsi="仿宋" w:eastAsia="仿宋" w:cs="仿宋"/>
          <w:sz w:val="32"/>
          <w:szCs w:val="32"/>
          <w:lang w:val="en-US" w:eastAsia="zh-CN"/>
        </w:rPr>
        <w:t>，当比选文件与比选文件的澄清内容不一致时，以澄清内容为准。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4.参选人在规定时间内不提交质疑文件的，视为充分理解并认可比选文件所有内容。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5" w:name="_Toc2725"/>
      <w:r>
        <w:rPr>
          <w:rFonts w:hint="eastAsia" w:ascii="黑体" w:hAnsi="黑体" w:eastAsia="黑体" w:cs="黑体"/>
          <w:sz w:val="32"/>
          <w:szCs w:val="32"/>
          <w:lang w:val="en-US" w:eastAsia="zh-CN"/>
        </w:rPr>
        <w:t>六、修改或补充</w:t>
      </w:r>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1.比选文件发出后</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采购人可对比选文件进行修改或补充。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2.若有必要，采购人可酌情延长递交响应文件的截止时间。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选文件的修改或补充内容作为比选文件的组成部分，当比选文件与比选文件的修改或补充内容表述不一致时，以修改或补充内容为准；当前后发出的修改或补充内容表述不一致时，以最迟发出的修改或补充内容为准。</w:t>
      </w:r>
    </w:p>
    <w:bookmarkEnd w:id="54"/>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6" w:name="_Toc29081"/>
      <w:r>
        <w:rPr>
          <w:rFonts w:hint="eastAsia" w:ascii="黑体" w:hAnsi="黑体" w:eastAsia="黑体" w:cs="黑体"/>
          <w:sz w:val="32"/>
          <w:szCs w:val="32"/>
          <w:lang w:val="en-US" w:eastAsia="zh-CN"/>
        </w:rPr>
        <w:t>七、响应文件的组成</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1.法定代表人身份证明及授权委托书（盖公章）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2.松山再生水利用配置项目文化建设费用报价表及报价响应书（盖公章）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提供在《信用中国》网站（www.creditchina.gov.cn）信用信息栏中无任何不良记录的查询截图、服务供应商基本情况表、营业执照副本（“三证合一”营业执照副本）复印件（或扫描件）以及依法缴纳税收和社会保障资金的良好记录（提供2022年至响应文件递交截止日前任意连续三个月依法缴纳税收和社会保障资金的证明资料。如零申报，需提供税费申报材料。）（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4.松山再生水厂利用配置试点项目文化建设服务方案（盖公章）</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5.具有履行合同所必</w:t>
      </w:r>
      <w:r>
        <w:rPr>
          <w:rFonts w:hint="default" w:ascii="仿宋" w:hAnsi="仿宋" w:eastAsia="仿宋" w:cs="仿宋"/>
          <w:sz w:val="32"/>
          <w:szCs w:val="32"/>
          <w:highlight w:val="none"/>
          <w:lang w:val="en-US" w:eastAsia="zh-CN"/>
        </w:rPr>
        <w:t>需</w:t>
      </w:r>
      <w:r>
        <w:rPr>
          <w:rFonts w:hint="eastAsia" w:ascii="仿宋" w:hAnsi="仿宋" w:eastAsia="仿宋" w:cs="仿宋"/>
          <w:sz w:val="32"/>
          <w:szCs w:val="32"/>
          <w:lang w:val="en-US" w:eastAsia="zh-CN"/>
        </w:rPr>
        <w:t>的专业技术能力承诺（盖公章）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6.参选人认为有必要提供的其他资料（盖公章）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7" w:name="_Toc14952"/>
      <w:r>
        <w:rPr>
          <w:rFonts w:hint="eastAsia" w:ascii="黑体" w:hAnsi="黑体" w:eastAsia="黑体" w:cs="黑体"/>
          <w:sz w:val="32"/>
          <w:szCs w:val="32"/>
          <w:lang w:val="en-US" w:eastAsia="zh-CN"/>
        </w:rPr>
        <w:t>八、份数及标记</w:t>
      </w:r>
      <w:bookmarkEnd w:id="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1.纸质文件贰份（正本壹份，副本壹份）。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2.响应文件上要注明“正本”或“副本”字样。如正、副本之间有差异，以正本为准。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8" w:name="_Toc15912"/>
      <w:r>
        <w:rPr>
          <w:rFonts w:hint="eastAsia" w:ascii="黑体" w:hAnsi="黑体" w:eastAsia="黑体" w:cs="黑体"/>
          <w:sz w:val="32"/>
          <w:szCs w:val="32"/>
          <w:lang w:val="en-US" w:eastAsia="zh-CN"/>
        </w:rPr>
        <w:t>九、响应文件的包封</w:t>
      </w:r>
      <w:bookmarkEnd w:id="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1.响应文件须胶装，不能使用活页装订。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2.参选人应将响应文件正本和副本统一用文件袋密封，骑缝处加盖公章。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3.未按上述规定进行密封和标记的，采购人有权拒绝接收该响应文件。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59" w:name="_Toc21203"/>
      <w:r>
        <w:rPr>
          <w:rFonts w:hint="eastAsia" w:ascii="黑体" w:hAnsi="黑体" w:eastAsia="黑体" w:cs="黑体"/>
          <w:sz w:val="32"/>
          <w:szCs w:val="32"/>
          <w:lang w:val="en-US" w:eastAsia="zh-CN"/>
        </w:rPr>
        <w:t>十、递交响应文件</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1.所有响应文件都必须按比选文件中规定的截止时间之前送至指定地点。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2.当采购人推迟投标截止时间时，则按采购人修改的时间递交。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3.采购人有权拒绝在比选截止时间后提交的响应文件。</w:t>
      </w:r>
      <w:bookmarkStart w:id="60" w:name="_Toc550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1"/>
        <w:rPr>
          <w:rFonts w:hint="eastAsia" w:ascii="黑体" w:hAnsi="黑体" w:eastAsia="黑体" w:cs="黑体"/>
          <w:sz w:val="32"/>
          <w:szCs w:val="32"/>
          <w:lang w:val="en-US" w:eastAsia="zh-CN"/>
        </w:rPr>
      </w:pPr>
      <w:bookmarkStart w:id="61" w:name="_Toc17852"/>
      <w:r>
        <w:rPr>
          <w:rFonts w:hint="eastAsia" w:ascii="黑体" w:hAnsi="黑体" w:eastAsia="黑体" w:cs="黑体"/>
          <w:sz w:val="32"/>
          <w:szCs w:val="32"/>
          <w:lang w:val="en-US" w:eastAsia="zh-CN"/>
        </w:rPr>
        <w:t>十一、报价</w:t>
      </w:r>
      <w:bookmarkEnd w:id="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1.本项目报价为一次性报价，以参选人填制的《松山再生水利用配置试点项目文化建设费用报价表》中的报价为准。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2.参选人不得更改《松山再生水利用配置试点项目文化建设费用报价表》已有的任何内容。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仿宋" w:hAnsi="仿宋" w:eastAsia="仿宋" w:cs="仿宋"/>
          <w:sz w:val="32"/>
          <w:szCs w:val="32"/>
          <w:lang w:val="en-US" w:eastAsia="zh-CN"/>
        </w:rPr>
        <w:t>3.报价金额包括但不仅限于：设计费、税费、合理利润、售后服务等所有费用在内，价款为最终单价报价，参选人不得再要求追加任何费用。</w:t>
      </w:r>
    </w:p>
    <w:p>
      <w:pPr>
        <w:pStyle w:val="3"/>
        <w:keepNext w:val="0"/>
        <w:keepLines w:val="0"/>
        <w:pageBreakBefore w:val="0"/>
        <w:widowControl w:val="0"/>
        <w:kinsoku/>
        <w:wordWrap/>
        <w:overflowPunct/>
        <w:topLinePunct w:val="0"/>
        <w:autoSpaceDE/>
        <w:autoSpaceDN/>
        <w:bidi w:val="0"/>
        <w:spacing w:before="220" w:line="540" w:lineRule="exact"/>
        <w:jc w:val="center"/>
        <w:textAlignment w:val="auto"/>
        <w:rPr>
          <w:rFonts w:hint="eastAsia" w:ascii="方正小标宋简体" w:hAnsi="方正小标宋简体" w:eastAsia="方正小标宋简体" w:cs="方正小标宋简体"/>
          <w:b w:val="0"/>
          <w:bCs/>
          <w:sz w:val="32"/>
          <w:szCs w:val="32"/>
          <w:lang w:val="en-US" w:eastAsia="zh-CN"/>
        </w:rPr>
      </w:pPr>
      <w:bookmarkStart w:id="62" w:name="_Toc26674"/>
      <w:r>
        <w:rPr>
          <w:rFonts w:hint="eastAsia" w:ascii="方正小标宋简体" w:hAnsi="方正小标宋简体" w:eastAsia="方正小标宋简体" w:cs="方正小标宋简体"/>
          <w:b w:val="0"/>
          <w:bCs/>
          <w:sz w:val="32"/>
          <w:szCs w:val="32"/>
        </w:rPr>
        <w:t>第三章</w:t>
      </w:r>
      <w:bookmarkEnd w:id="60"/>
      <w:r>
        <w:rPr>
          <w:rFonts w:hint="eastAsia" w:ascii="方正小标宋简体" w:hAnsi="方正小标宋简体" w:eastAsia="方正小标宋简体" w:cs="方正小标宋简体"/>
          <w:b w:val="0"/>
          <w:bCs/>
          <w:sz w:val="32"/>
          <w:szCs w:val="32"/>
          <w:lang w:val="en-US" w:eastAsia="zh-CN"/>
        </w:rPr>
        <w:t>比选</w:t>
      </w:r>
      <w:r>
        <w:rPr>
          <w:rFonts w:hint="eastAsia" w:ascii="方正小标宋简体" w:hAnsi="方正小标宋简体" w:eastAsia="方正小标宋简体" w:cs="方正小标宋简体"/>
          <w:b w:val="0"/>
          <w:bCs/>
          <w:kern w:val="0"/>
          <w:sz w:val="32"/>
          <w:szCs w:val="32"/>
        </w:rPr>
        <w:t>办法及评分标准</w:t>
      </w:r>
      <w:bookmarkEnd w:id="62"/>
    </w:p>
    <w:p>
      <w:pPr>
        <w:pStyle w:val="5"/>
        <w:pageBreakBefore w:val="0"/>
        <w:widowControl w:val="0"/>
        <w:kinsoku/>
        <w:wordWrap/>
        <w:overflowPunct/>
        <w:topLinePunct w:val="0"/>
        <w:autoSpaceDE/>
        <w:autoSpaceDN/>
        <w:bidi w:val="0"/>
        <w:spacing w:line="540" w:lineRule="exact"/>
        <w:textAlignment w:val="auto"/>
        <w:outlineLvl w:val="1"/>
        <w:rPr>
          <w:rFonts w:hint="eastAsia" w:ascii="黑体" w:hAnsi="黑体" w:eastAsia="黑体" w:cs="黑体"/>
          <w:b w:val="0"/>
          <w:bCs w:val="0"/>
          <w:color w:val="auto"/>
          <w:sz w:val="32"/>
          <w:szCs w:val="40"/>
          <w:lang w:val="en-US" w:eastAsia="zh-CN"/>
        </w:rPr>
      </w:pPr>
      <w:bookmarkStart w:id="63" w:name="_Toc9584"/>
      <w:r>
        <w:rPr>
          <w:rFonts w:hint="eastAsia" w:ascii="黑体" w:hAnsi="黑体" w:eastAsia="黑体" w:cs="黑体"/>
          <w:b w:val="0"/>
          <w:bCs w:val="0"/>
          <w:color w:val="auto"/>
          <w:sz w:val="32"/>
          <w:szCs w:val="40"/>
          <w:lang w:val="en-US" w:eastAsia="zh-CN"/>
        </w:rPr>
        <w:t>第一节</w:t>
      </w:r>
      <w:r>
        <w:rPr>
          <w:rFonts w:hint="eastAsia" w:ascii="黑体" w:hAnsi="黑体" w:cs="黑体"/>
          <w:b w:val="0"/>
          <w:bCs w:val="0"/>
          <w:color w:val="auto"/>
          <w:sz w:val="32"/>
          <w:szCs w:val="40"/>
          <w:lang w:val="en-US" w:eastAsia="zh-CN"/>
        </w:rPr>
        <w:t>比选</w:t>
      </w:r>
      <w:r>
        <w:rPr>
          <w:rFonts w:hint="eastAsia" w:ascii="黑体" w:hAnsi="黑体" w:eastAsia="黑体" w:cs="黑体"/>
          <w:b w:val="0"/>
          <w:bCs w:val="0"/>
          <w:color w:val="auto"/>
          <w:sz w:val="32"/>
          <w:szCs w:val="40"/>
          <w:lang w:val="en-US" w:eastAsia="zh-CN"/>
        </w:rPr>
        <w:t>办法</w:t>
      </w:r>
      <w:bookmarkEnd w:id="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1、本项目采用“综合评分法”进行评分。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综合评分法，是指在满足比选文件实质性要求的前提下，比选小组按照比选文件中规定的各项评审因素及其分值进行综合评分，每家参选单位最终得分为所有比选小组评分的平均数（保留小数点后两位），按各家参选单位最终得分依次排序，选取评分最高的参选单位作为本次服务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2、比选小组的组成：采购人组织机构的各管理部门。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3、监督机构:采购人组织机构的综合管理部。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4、评标原则：公平、公正、公开和择优原则。</w:t>
      </w:r>
    </w:p>
    <w:p>
      <w:pPr>
        <w:pStyle w:val="5"/>
        <w:pageBreakBefore w:val="0"/>
        <w:widowControl w:val="0"/>
        <w:kinsoku/>
        <w:wordWrap/>
        <w:overflowPunct/>
        <w:topLinePunct w:val="0"/>
        <w:autoSpaceDE/>
        <w:autoSpaceDN/>
        <w:bidi w:val="0"/>
        <w:spacing w:line="540" w:lineRule="exact"/>
        <w:textAlignment w:val="auto"/>
        <w:outlineLvl w:val="1"/>
        <w:rPr>
          <w:rFonts w:hint="eastAsia" w:ascii="黑体" w:hAnsi="黑体" w:eastAsia="黑体" w:cs="黑体"/>
          <w:b w:val="0"/>
          <w:bCs w:val="0"/>
          <w:color w:val="auto"/>
          <w:sz w:val="32"/>
          <w:szCs w:val="40"/>
        </w:rPr>
      </w:pPr>
      <w:bookmarkStart w:id="64" w:name="_Toc523327946"/>
      <w:bookmarkStart w:id="65" w:name="_Toc13648903"/>
      <w:bookmarkStart w:id="66" w:name="_Toc523327784"/>
      <w:bookmarkStart w:id="67" w:name="_Toc523328220"/>
      <w:bookmarkStart w:id="68" w:name="_Toc523328536"/>
      <w:bookmarkStart w:id="69" w:name="_Toc406670727"/>
      <w:bookmarkStart w:id="70" w:name="_Toc424213019"/>
      <w:bookmarkStart w:id="71" w:name="_Toc406671098"/>
      <w:bookmarkStart w:id="72" w:name="_Toc32067"/>
      <w:bookmarkStart w:id="73" w:name="_Toc9032812"/>
      <w:bookmarkStart w:id="74" w:name="_Toc406672391"/>
      <w:bookmarkStart w:id="75" w:name="_Toc406671686"/>
      <w:r>
        <w:rPr>
          <w:rFonts w:hint="eastAsia" w:ascii="黑体" w:hAnsi="黑体" w:eastAsia="黑体" w:cs="黑体"/>
          <w:b w:val="0"/>
          <w:bCs w:val="0"/>
          <w:color w:val="auto"/>
          <w:sz w:val="32"/>
          <w:szCs w:val="40"/>
        </w:rPr>
        <w:t>第二节评分标准</w:t>
      </w:r>
      <w:bookmarkEnd w:id="64"/>
      <w:bookmarkEnd w:id="65"/>
      <w:bookmarkEnd w:id="66"/>
      <w:bookmarkEnd w:id="67"/>
      <w:bookmarkEnd w:id="68"/>
      <w:bookmarkEnd w:id="69"/>
      <w:bookmarkEnd w:id="70"/>
      <w:bookmarkEnd w:id="71"/>
      <w:bookmarkEnd w:id="72"/>
      <w:bookmarkEnd w:id="73"/>
      <w:bookmarkEnd w:id="74"/>
      <w:bookmarkEnd w:id="75"/>
    </w:p>
    <w:p>
      <w:pPr>
        <w:pageBreakBefore w:val="0"/>
        <w:widowControl w:val="0"/>
        <w:kinsoku/>
        <w:wordWrap/>
        <w:overflowPunct/>
        <w:topLinePunct w:val="0"/>
        <w:autoSpaceDE/>
        <w:autoSpaceDN/>
        <w:bidi w:val="0"/>
        <w:spacing w:beforeLines="50" w:afterLines="50" w:line="540" w:lineRule="exact"/>
        <w:ind w:firstLine="640" w:firstLineChars="200"/>
        <w:textAlignment w:val="auto"/>
        <w:outlineLvl w:val="2"/>
        <w:rPr>
          <w:rFonts w:hint="eastAsia" w:ascii="黑体" w:hAnsi="黑体" w:eastAsia="黑体" w:cs="黑体"/>
          <w:color w:val="auto"/>
          <w:sz w:val="32"/>
          <w:szCs w:val="32"/>
        </w:rPr>
      </w:pPr>
      <w:bookmarkStart w:id="76" w:name="_Toc3791"/>
      <w:r>
        <w:rPr>
          <w:rFonts w:hint="eastAsia" w:ascii="黑体" w:hAnsi="黑体" w:eastAsia="黑体" w:cs="黑体"/>
          <w:color w:val="auto"/>
          <w:sz w:val="32"/>
          <w:szCs w:val="32"/>
        </w:rPr>
        <w:t>一、评分因素</w:t>
      </w:r>
      <w:bookmarkEnd w:id="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评分因素详见评分表。评审分值保留至两位小数。评审时，比选小组依照评分表对每个有效参选人的响应文件进行独立评审、打分。</w:t>
      </w:r>
    </w:p>
    <w:p>
      <w:pPr>
        <w:pStyle w:val="2"/>
        <w:numPr>
          <w:ilvl w:val="0"/>
          <w:numId w:val="1"/>
        </w:numPr>
        <w:outlineLvl w:val="2"/>
        <w:rPr>
          <w:rFonts w:hint="eastAsia" w:ascii="仿宋" w:hAnsi="仿宋" w:eastAsia="仿宋" w:cs="仿宋"/>
          <w:color w:val="auto"/>
          <w:sz w:val="28"/>
          <w:szCs w:val="28"/>
          <w:lang w:val="en-US" w:eastAsia="zh-CN"/>
        </w:rPr>
      </w:pPr>
      <w:bookmarkStart w:id="77" w:name="_Toc30731"/>
      <w:r>
        <w:rPr>
          <w:rFonts w:hint="eastAsia" w:ascii="黑体" w:hAnsi="黑体" w:eastAsia="黑体" w:cs="黑体"/>
          <w:color w:val="auto"/>
          <w:sz w:val="32"/>
          <w:szCs w:val="28"/>
          <w:lang w:val="en-US" w:eastAsia="zh-CN"/>
        </w:rPr>
        <w:t>资格审查</w:t>
      </w:r>
      <w:bookmarkEnd w:id="77"/>
    </w:p>
    <w:p>
      <w:pPr>
        <w:pStyle w:val="2"/>
        <w:outlineLvl w:val="9"/>
        <w:rPr>
          <w:rFonts w:hint="eastAsia" w:ascii="仿宋" w:hAnsi="仿宋" w:eastAsia="仿宋" w:cs="仿宋"/>
          <w:color w:val="auto"/>
          <w:sz w:val="32"/>
          <w:lang w:val="en-US" w:eastAsia="zh-CN"/>
        </w:rPr>
        <w:sectPr>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i w:val="0"/>
          <w:iCs w:val="0"/>
          <w:color w:val="auto"/>
          <w:kern w:val="0"/>
          <w:sz w:val="32"/>
          <w:szCs w:val="28"/>
          <w:u w:val="none"/>
          <w:lang w:val="en-US" w:eastAsia="zh-CN" w:bidi="ar"/>
        </w:rPr>
        <w:t>资格初步审核表中任何一项不满足要求，则其比选响应文件未通过</w:t>
      </w:r>
      <w:r>
        <w:rPr>
          <w:rFonts w:hint="eastAsia" w:ascii="仿宋" w:hAnsi="仿宋" w:eastAsia="仿宋" w:cs="仿宋"/>
          <w:color w:val="auto"/>
          <w:sz w:val="32"/>
          <w:szCs w:val="28"/>
          <w:lang w:val="en-US" w:eastAsia="zh-CN"/>
        </w:rPr>
        <w:t>。</w:t>
      </w:r>
    </w:p>
    <w:tbl>
      <w:tblPr>
        <w:tblStyle w:val="20"/>
        <w:tblW w:w="141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6"/>
        <w:gridCol w:w="1614"/>
        <w:gridCol w:w="9768"/>
        <w:gridCol w:w="1402"/>
        <w:gridCol w:w="222"/>
        <w:gridCol w:w="18"/>
        <w:gridCol w:w="204"/>
        <w:gridCol w:w="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 w:type="dxa"/>
          <w:trHeight w:val="833" w:hRule="atLeast"/>
        </w:trPr>
        <w:tc>
          <w:tcPr>
            <w:tcW w:w="14174"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方正小标宋简体" w:hAnsi="方正小标宋简体" w:eastAsia="方正小标宋简体" w:cs="方正小标宋简体"/>
                <w:i w:val="0"/>
                <w:iCs w:val="0"/>
                <w:color w:val="000000"/>
                <w:kern w:val="0"/>
                <w:sz w:val="44"/>
                <w:szCs w:val="28"/>
                <w:u w:val="none"/>
                <w:lang w:val="en-US" w:eastAsia="zh-CN" w:bidi="ar"/>
              </w:rPr>
              <w:t>初  步  审  查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 w:type="dxa"/>
          <w:trHeight w:val="456" w:hRule="atLeast"/>
        </w:trPr>
        <w:tc>
          <w:tcPr>
            <w:tcW w:w="141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 w:hAnsi="仿宋" w:eastAsia="仿宋" w:cs="仿宋"/>
                <w:i w:val="0"/>
                <w:iCs w:val="0"/>
                <w:color w:val="000000"/>
                <w:sz w:val="28"/>
                <w:szCs w:val="28"/>
                <w:u w:val="none"/>
                <w:lang w:val="en-US"/>
              </w:rPr>
            </w:pPr>
            <w:r>
              <w:rPr>
                <w:rFonts w:hint="eastAsia" w:ascii="仿宋" w:hAnsi="仿宋" w:eastAsia="仿宋" w:cs="仿宋"/>
                <w:i w:val="0"/>
                <w:iCs w:val="0"/>
                <w:color w:val="000000"/>
                <w:kern w:val="0"/>
                <w:sz w:val="28"/>
                <w:szCs w:val="28"/>
                <w:u w:val="none"/>
                <w:lang w:val="en-US" w:eastAsia="zh-CN" w:bidi="ar"/>
              </w:rPr>
              <w:t>项目名称：松山再生水利用配置试点项目宣传文化建设服务商采购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 w:type="dxa"/>
          <w:trHeight w:val="90" w:hRule="atLeast"/>
        </w:trPr>
        <w:tc>
          <w:tcPr>
            <w:tcW w:w="141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评审地点：贵州青源环境治理有限公司1713会议室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 w:type="dxa"/>
          <w:trHeight w:val="346" w:hRule="atLeast"/>
        </w:trPr>
        <w:tc>
          <w:tcPr>
            <w:tcW w:w="141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黑体" w:hAnsi="黑体" w:eastAsia="黑体" w:cs="黑体"/>
                <w:i w:val="0"/>
                <w:iCs w:val="0"/>
                <w:color w:val="000000"/>
                <w:kern w:val="0"/>
                <w:sz w:val="32"/>
                <w:szCs w:val="28"/>
                <w:u w:val="none"/>
                <w:lang w:val="en-US" w:eastAsia="zh-CN" w:bidi="ar"/>
              </w:rPr>
              <w:t>一、资格性审查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序号</w:t>
            </w:r>
          </w:p>
        </w:tc>
        <w:tc>
          <w:tcPr>
            <w:tcW w:w="11382" w:type="dxa"/>
            <w:gridSpan w:val="2"/>
            <w:tcBorders>
              <w:top w:val="nil"/>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 xml:space="preserve">                                             投标人</w:t>
            </w:r>
          </w:p>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资格要求</w:t>
            </w:r>
          </w:p>
        </w:tc>
        <w:tc>
          <w:tcPr>
            <w:tcW w:w="140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c>
          <w:tcPr>
            <w:tcW w:w="24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c>
          <w:tcPr>
            <w:tcW w:w="222"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资格</w:t>
            </w:r>
          </w:p>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审查</w:t>
            </w: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响应资料需密封装订报送（盖骑缝章）</w:t>
            </w:r>
          </w:p>
        </w:tc>
        <w:tc>
          <w:tcPr>
            <w:tcW w:w="140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240"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222"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在法律允许的范围内，依法经核准登记，从事快印等经营活动的主体：提供有效的载明统一社会信用代码的营业执照正本或副本复印件并加盖单位公章。</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7"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具有依法缴纳税收和社会保障资金的良好记录，提供2022年至</w:t>
            </w:r>
            <w:r>
              <w:rPr>
                <w:rFonts w:hint="eastAsia" w:ascii="仿宋" w:hAnsi="仿宋" w:eastAsia="仿宋" w:cs="仿宋"/>
                <w:sz w:val="32"/>
                <w:szCs w:val="32"/>
                <w:lang w:val="en-US" w:eastAsia="zh-CN"/>
              </w:rPr>
              <w:t>响应文件递交截止日前</w:t>
            </w:r>
            <w:r>
              <w:rPr>
                <w:rFonts w:hint="eastAsia" w:ascii="仿宋" w:hAnsi="仿宋" w:eastAsia="仿宋" w:cs="仿宋"/>
                <w:i w:val="0"/>
                <w:iCs w:val="0"/>
                <w:color w:val="000000"/>
                <w:kern w:val="0"/>
                <w:sz w:val="28"/>
                <w:szCs w:val="28"/>
                <w:u w:val="none"/>
                <w:lang w:val="en-US" w:eastAsia="zh-CN" w:bidi="ar"/>
              </w:rPr>
              <w:t>任意连续三个月依法缴纳税收和社会保障资金的相关材料，如零申报，需提供税费申报材料。</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提供在《信用中国》网站（www.creditchina.gov.cn）信用信息栏中无任何不良记录的查询截图，加盖公章。</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1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资格</w:t>
            </w:r>
          </w:p>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审查</w:t>
            </w: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采购响应供应商如是法定代表人亲自参加报价，则提供其身份证复印件；如法定代表人授权他人参加报价的，则提供法定代表人授权委托书原件，同时提供法定代表人和被授权人身份证复印件，加盖公章；</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服务费用报价表（盖公章）；</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1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8"/>
                <w:szCs w:val="28"/>
                <w:u w:val="none"/>
              </w:rPr>
            </w:pP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具有履行合同所必需的专业技术能力承诺（格式自拟）</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 w:type="dxa"/>
          <w:trHeight w:val="620" w:hRule="atLeast"/>
        </w:trPr>
        <w:tc>
          <w:tcPr>
            <w:tcW w:w="141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黑体" w:hAnsi="黑体" w:eastAsia="黑体" w:cs="黑体"/>
                <w:i w:val="0"/>
                <w:iCs w:val="0"/>
                <w:color w:val="000000"/>
                <w:kern w:val="0"/>
                <w:sz w:val="32"/>
                <w:szCs w:val="28"/>
                <w:u w:val="none"/>
                <w:lang w:val="en-US" w:eastAsia="zh-CN" w:bidi="ar"/>
              </w:rPr>
              <w:t>二、无效响应文件审查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9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无效响应文件审查</w:t>
            </w:r>
          </w:p>
        </w:tc>
        <w:tc>
          <w:tcPr>
            <w:tcW w:w="9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按本项目比选要求（供应商资格要求）及比选文件第二章第七条（响应文件的组成）和第九条（响应文件的包封）审查是否通过</w:t>
            </w:r>
          </w:p>
        </w:tc>
        <w:tc>
          <w:tcPr>
            <w:tcW w:w="1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 w:type="dxa"/>
          <w:trHeight w:val="1450" w:hRule="atLeast"/>
        </w:trPr>
        <w:tc>
          <w:tcPr>
            <w:tcW w:w="1232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黑体" w:hAnsi="黑体" w:eastAsia="黑体" w:cs="黑体"/>
                <w:i w:val="0"/>
                <w:iCs w:val="0"/>
                <w:color w:val="000000"/>
                <w:kern w:val="0"/>
                <w:sz w:val="32"/>
                <w:szCs w:val="28"/>
                <w:u w:val="none"/>
                <w:lang w:val="en-US" w:eastAsia="zh-CN" w:bidi="ar"/>
              </w:rPr>
            </w:pPr>
            <w:r>
              <w:rPr>
                <w:rFonts w:hint="eastAsia" w:ascii="黑体" w:hAnsi="黑体" w:eastAsia="黑体" w:cs="黑体"/>
                <w:i w:val="0"/>
                <w:iCs w:val="0"/>
                <w:color w:val="000000"/>
                <w:kern w:val="0"/>
                <w:sz w:val="32"/>
                <w:szCs w:val="28"/>
                <w:u w:val="none"/>
                <w:lang w:val="en-US" w:eastAsia="zh-CN" w:bidi="ar"/>
              </w:rPr>
              <w:t>三、初步审查结论</w:t>
            </w:r>
          </w:p>
          <w:p>
            <w:pPr>
              <w:jc w:val="left"/>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通过初步评审标注为“通过”，未通过初步评审标注“未通过”。</w:t>
            </w:r>
          </w:p>
          <w:p>
            <w:pPr>
              <w:jc w:val="left"/>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其中任何一项不满足要求，则其比选响应文件未通过初步评审。</w:t>
            </w:r>
          </w:p>
        </w:tc>
        <w:tc>
          <w:tcPr>
            <w:tcW w:w="162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c>
          <w:tcPr>
            <w:tcW w:w="2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 w:hAnsi="仿宋" w:eastAsia="仿宋" w:cs="仿宋"/>
                <w:i w:val="0"/>
                <w:iCs w:val="0"/>
                <w:color w:val="000000"/>
                <w:sz w:val="28"/>
                <w:szCs w:val="28"/>
                <w:u w:val="none"/>
              </w:rPr>
            </w:pPr>
          </w:p>
        </w:tc>
      </w:tr>
    </w:tbl>
    <w:p>
      <w:pPr>
        <w:numPr>
          <w:ilvl w:val="-1"/>
          <w:numId w:val="0"/>
        </w:numPr>
        <w:rPr>
          <w:rFonts w:hint="default"/>
          <w:lang w:val="en-US" w:eastAsia="zh-CN"/>
        </w:rPr>
        <w:sectPr>
          <w:pgSz w:w="16838" w:h="11906" w:orient="landscape"/>
          <w:pgMar w:top="1800" w:right="1440" w:bottom="1800" w:left="1440" w:header="851" w:footer="992" w:gutter="0"/>
          <w:pgNumType w:fmt="decimal"/>
          <w:cols w:space="425" w:num="1"/>
          <w:docGrid w:type="lines" w:linePitch="312" w:charSpace="0"/>
        </w:sectPr>
      </w:pPr>
    </w:p>
    <w:p>
      <w:pPr>
        <w:pageBreakBefore w:val="0"/>
        <w:widowControl w:val="0"/>
        <w:kinsoku/>
        <w:wordWrap/>
        <w:overflowPunct/>
        <w:topLinePunct w:val="0"/>
        <w:autoSpaceDE/>
        <w:autoSpaceDN/>
        <w:bidi w:val="0"/>
        <w:spacing w:beforeLines="50" w:afterLines="50" w:line="540" w:lineRule="exact"/>
        <w:ind w:firstLine="640" w:firstLineChars="200"/>
        <w:textAlignment w:val="auto"/>
        <w:outlineLvl w:val="2"/>
        <w:rPr>
          <w:rFonts w:hint="eastAsia" w:ascii="黑体" w:hAnsi="黑体" w:eastAsia="黑体" w:cs="黑体"/>
          <w:color w:val="000000"/>
          <w:sz w:val="32"/>
          <w:szCs w:val="32"/>
        </w:rPr>
      </w:pPr>
      <w:bookmarkStart w:id="78" w:name="_Toc26602"/>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、评分标准</w:t>
      </w:r>
      <w:bookmarkEnd w:id="78"/>
    </w:p>
    <w:p>
      <w:pPr>
        <w:spacing w:line="56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比选小组只对通过资格后审的比选响应文件进行综合评审打分。综合评分采用百分制，总分100分，评分标准如下：</w:t>
      </w:r>
    </w:p>
    <w:p>
      <w:pPr>
        <w:rPr>
          <w:rFonts w:hint="eastAsia"/>
        </w:rPr>
      </w:pPr>
    </w:p>
    <w:tbl>
      <w:tblPr>
        <w:tblStyle w:val="20"/>
        <w:tblW w:w="9101" w:type="dxa"/>
        <w:jc w:val="center"/>
        <w:tblLayout w:type="fixed"/>
        <w:tblCellMar>
          <w:top w:w="0" w:type="dxa"/>
          <w:left w:w="108" w:type="dxa"/>
          <w:bottom w:w="0" w:type="dxa"/>
          <w:right w:w="108" w:type="dxa"/>
        </w:tblCellMar>
      </w:tblPr>
      <w:tblGrid>
        <w:gridCol w:w="1906"/>
        <w:gridCol w:w="1068"/>
        <w:gridCol w:w="6127"/>
      </w:tblGrid>
      <w:tr>
        <w:tblPrEx>
          <w:tblCellMar>
            <w:top w:w="0" w:type="dxa"/>
            <w:left w:w="108" w:type="dxa"/>
            <w:bottom w:w="0" w:type="dxa"/>
            <w:right w:w="108" w:type="dxa"/>
          </w:tblCellMar>
        </w:tblPrEx>
        <w:trPr>
          <w:trHeight w:val="682" w:hRule="atLeast"/>
          <w:jc w:val="center"/>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jc w:val="both"/>
              <w:rPr>
                <w:rFonts w:hint="eastAsia" w:ascii="宋体" w:hAnsi="宋体" w:cs="宋体"/>
                <w:sz w:val="24"/>
              </w:rPr>
            </w:pPr>
            <w:r>
              <w:rPr>
                <w:rFonts w:hint="eastAsia" w:ascii="宋体" w:hAnsi="宋体" w:cs="宋体"/>
                <w:sz w:val="24"/>
              </w:rPr>
              <w:t>评分项目</w:t>
            </w:r>
          </w:p>
        </w:tc>
        <w:tc>
          <w:tcPr>
            <w:tcW w:w="1068" w:type="dxa"/>
            <w:tcBorders>
              <w:top w:val="single" w:color="auto" w:sz="4" w:space="0"/>
              <w:left w:val="nil"/>
              <w:bottom w:val="single" w:color="auto" w:sz="4" w:space="0"/>
              <w:right w:val="single" w:color="auto" w:sz="4" w:space="0"/>
            </w:tcBorders>
            <w:noWrap w:val="0"/>
            <w:vAlign w:val="center"/>
          </w:tcPr>
          <w:p>
            <w:pPr>
              <w:snapToGrid w:val="0"/>
              <w:spacing w:line="480" w:lineRule="auto"/>
              <w:jc w:val="center"/>
              <w:rPr>
                <w:rFonts w:hint="eastAsia" w:ascii="宋体" w:hAnsi="宋体" w:cs="宋体"/>
                <w:sz w:val="24"/>
              </w:rPr>
            </w:pPr>
            <w:r>
              <w:rPr>
                <w:rFonts w:hint="eastAsia" w:ascii="宋体" w:hAnsi="宋体" w:cs="宋体"/>
                <w:sz w:val="24"/>
              </w:rPr>
              <w:t>分值</w:t>
            </w:r>
          </w:p>
        </w:tc>
        <w:tc>
          <w:tcPr>
            <w:tcW w:w="6127" w:type="dxa"/>
            <w:tcBorders>
              <w:top w:val="single" w:color="auto" w:sz="4" w:space="0"/>
              <w:left w:val="nil"/>
              <w:bottom w:val="single" w:color="auto" w:sz="4" w:space="0"/>
              <w:right w:val="single" w:color="auto" w:sz="4" w:space="0"/>
            </w:tcBorders>
            <w:noWrap w:val="0"/>
            <w:vAlign w:val="center"/>
          </w:tcPr>
          <w:p>
            <w:pPr>
              <w:snapToGrid w:val="0"/>
              <w:spacing w:line="480" w:lineRule="auto"/>
              <w:jc w:val="center"/>
              <w:rPr>
                <w:rFonts w:hint="eastAsia" w:ascii="宋体" w:hAnsi="宋体" w:cs="宋体"/>
                <w:sz w:val="24"/>
              </w:rPr>
            </w:pPr>
            <w:r>
              <w:rPr>
                <w:rFonts w:hint="eastAsia" w:ascii="宋体" w:hAnsi="宋体" w:cs="宋体"/>
                <w:sz w:val="24"/>
              </w:rPr>
              <w:t>评分标准</w:t>
            </w:r>
          </w:p>
        </w:tc>
      </w:tr>
      <w:tr>
        <w:tblPrEx>
          <w:tblCellMar>
            <w:top w:w="0" w:type="dxa"/>
            <w:left w:w="108" w:type="dxa"/>
            <w:bottom w:w="0" w:type="dxa"/>
            <w:right w:w="108" w:type="dxa"/>
          </w:tblCellMar>
        </w:tblPrEx>
        <w:trPr>
          <w:trHeight w:val="682" w:hRule="atLeast"/>
          <w:jc w:val="center"/>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jc w:val="center"/>
              <w:rPr>
                <w:rFonts w:hint="eastAsia" w:ascii="宋体" w:hAnsi="宋体" w:cs="宋体"/>
                <w:sz w:val="24"/>
              </w:rPr>
            </w:pPr>
            <w:r>
              <w:rPr>
                <w:rFonts w:hint="eastAsia" w:ascii="宋体" w:hAnsi="宋体"/>
                <w:sz w:val="24"/>
                <w:lang w:val="en-US" w:eastAsia="zh-CN"/>
              </w:rPr>
              <w:t>报价评分</w:t>
            </w:r>
          </w:p>
        </w:tc>
        <w:tc>
          <w:tcPr>
            <w:tcW w:w="1068" w:type="dxa"/>
            <w:tcBorders>
              <w:top w:val="single" w:color="auto" w:sz="4" w:space="0"/>
              <w:left w:val="nil"/>
              <w:bottom w:val="single" w:color="auto" w:sz="4" w:space="0"/>
              <w:right w:val="single" w:color="auto" w:sz="4" w:space="0"/>
            </w:tcBorders>
            <w:noWrap w:val="0"/>
            <w:vAlign w:val="center"/>
          </w:tcPr>
          <w:p>
            <w:pPr>
              <w:snapToGrid w:val="0"/>
              <w:spacing w:line="480" w:lineRule="auto"/>
              <w:jc w:val="center"/>
              <w:rPr>
                <w:rFonts w:hint="default" w:ascii="宋体" w:hAnsi="宋体" w:eastAsia="宋体" w:cs="宋体"/>
                <w:sz w:val="24"/>
                <w:lang w:val="en-US" w:eastAsia="zh-CN"/>
              </w:rPr>
            </w:pPr>
            <w:r>
              <w:rPr>
                <w:rFonts w:hint="eastAsia" w:ascii="宋体" w:hAnsi="宋体" w:cs="宋体"/>
                <w:sz w:val="24"/>
                <w:lang w:val="en-US" w:eastAsia="zh-CN"/>
              </w:rPr>
              <w:t>30</w:t>
            </w:r>
          </w:p>
        </w:tc>
        <w:tc>
          <w:tcPr>
            <w:tcW w:w="61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cs="宋体"/>
                <w:sz w:val="24"/>
              </w:rPr>
            </w:pPr>
            <w:r>
              <w:rPr>
                <w:rFonts w:hint="eastAsia" w:ascii="宋体" w:hAnsi="宋体" w:cs="宋体"/>
                <w:sz w:val="24"/>
              </w:rPr>
              <w:t>价格分</w:t>
            </w:r>
            <w:r>
              <w:rPr>
                <w:rFonts w:hint="eastAsia" w:ascii="宋体" w:hAnsi="宋体" w:cs="宋体"/>
                <w:sz w:val="24"/>
                <w:lang w:val="en-US" w:eastAsia="zh-CN"/>
              </w:rPr>
              <w:t>30</w:t>
            </w:r>
            <w:r>
              <w:rPr>
                <w:rFonts w:hint="eastAsia" w:ascii="宋体" w:hAnsi="宋体" w:cs="宋体"/>
                <w:sz w:val="24"/>
              </w:rPr>
              <w:t>分投标报价得分＝（评标基准价／有效投标报价）×价格权值</w:t>
            </w:r>
            <w:r>
              <w:rPr>
                <w:rFonts w:hint="eastAsia" w:ascii="宋体" w:hAnsi="宋体" w:cs="宋体"/>
                <w:sz w:val="24"/>
                <w:highlight w:val="none"/>
              </w:rPr>
              <w:t>(</w:t>
            </w:r>
            <w:r>
              <w:rPr>
                <w:rFonts w:hint="eastAsia" w:ascii="宋体" w:hAnsi="宋体" w:cs="宋体"/>
                <w:sz w:val="24"/>
                <w:lang w:val="en-US" w:eastAsia="zh-CN"/>
              </w:rPr>
              <w:t>30</w:t>
            </w:r>
            <w:r>
              <w:rPr>
                <w:rFonts w:hint="eastAsia" w:ascii="宋体" w:hAnsi="宋体" w:cs="宋体"/>
                <w:sz w:val="24"/>
              </w:rPr>
              <w:t>%)×100）根据《政府采购货物和服务招标投标管理办法》（中华人民共和国财政部令第87号）第五十五条的规定，综合评分法中的价格分统一采用低价优先法计算，即满足</w:t>
            </w:r>
            <w:r>
              <w:rPr>
                <w:rFonts w:hint="eastAsia" w:ascii="宋体" w:hAnsi="宋体" w:cs="宋体"/>
                <w:sz w:val="24"/>
                <w:lang w:eastAsia="zh-CN"/>
              </w:rPr>
              <w:t>比选</w:t>
            </w:r>
            <w:r>
              <w:rPr>
                <w:rFonts w:hint="eastAsia" w:ascii="宋体" w:hAnsi="宋体" w:cs="宋体"/>
                <w:sz w:val="24"/>
              </w:rPr>
              <w:t>文件要求且价格最低的投标报价为评标基准价，其价格分为满分。其他</w:t>
            </w:r>
            <w:r>
              <w:rPr>
                <w:rFonts w:hint="eastAsia" w:ascii="宋体" w:hAnsi="宋体" w:cs="宋体"/>
                <w:sz w:val="24"/>
                <w:lang w:eastAsia="zh-CN"/>
              </w:rPr>
              <w:t>参选人</w:t>
            </w:r>
            <w:r>
              <w:rPr>
                <w:rFonts w:hint="eastAsia" w:ascii="宋体" w:hAnsi="宋体" w:cs="宋体"/>
                <w:sz w:val="24"/>
              </w:rPr>
              <w:t>的价格分按下列</w:t>
            </w:r>
            <w:r>
              <w:rPr>
                <w:rFonts w:hint="eastAsia" w:ascii="宋体" w:hAnsi="宋体" w:cs="宋体"/>
                <w:sz w:val="24"/>
                <w:highlight w:val="none"/>
              </w:rPr>
              <w:t>公</w:t>
            </w:r>
            <w:r>
              <w:rPr>
                <w:rFonts w:hint="eastAsia" w:ascii="宋体" w:hAnsi="宋体" w:cs="宋体"/>
                <w:sz w:val="24"/>
                <w:highlight w:val="none"/>
                <w:lang w:eastAsia="zh-CN"/>
              </w:rPr>
              <w:t>式</w:t>
            </w:r>
            <w:r>
              <w:rPr>
                <w:rFonts w:hint="eastAsia" w:ascii="宋体" w:hAnsi="宋体" w:cs="宋体"/>
                <w:sz w:val="24"/>
              </w:rPr>
              <w:t>计算：</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cs="宋体"/>
                <w:sz w:val="24"/>
              </w:rPr>
            </w:pPr>
            <w:r>
              <w:rPr>
                <w:rFonts w:hint="eastAsia" w:ascii="宋体" w:hAnsi="宋体" w:cs="宋体"/>
                <w:sz w:val="24"/>
              </w:rPr>
              <w:t>投标报价得分＝（最低有效投标报价/有效投标报价）×</w:t>
            </w:r>
            <w:r>
              <w:rPr>
                <w:rFonts w:hint="eastAsia" w:ascii="宋体" w:hAnsi="宋体" w:cs="宋体"/>
                <w:sz w:val="24"/>
                <w:lang w:val="en-US" w:eastAsia="zh-CN"/>
              </w:rPr>
              <w:t>30</w:t>
            </w:r>
            <w:r>
              <w:rPr>
                <w:rFonts w:hint="eastAsia" w:ascii="宋体" w:hAnsi="宋体" w:cs="宋体"/>
                <w:sz w:val="24"/>
              </w:rPr>
              <w:t>%×100</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eastAsia="宋体" w:cs="宋体"/>
                <w:sz w:val="24"/>
                <w:lang w:eastAsia="zh-CN"/>
              </w:rPr>
            </w:pPr>
            <w:r>
              <w:rPr>
                <w:rFonts w:hint="eastAsia" w:ascii="宋体" w:hAnsi="宋体" w:cs="宋体"/>
                <w:sz w:val="24"/>
              </w:rPr>
              <w:t>注：（1）产品报价得分按四舍五入法取小数点后两位。</w:t>
            </w:r>
          </w:p>
        </w:tc>
      </w:tr>
      <w:tr>
        <w:tblPrEx>
          <w:tblCellMar>
            <w:top w:w="0" w:type="dxa"/>
            <w:left w:w="108" w:type="dxa"/>
            <w:bottom w:w="0" w:type="dxa"/>
            <w:right w:w="108" w:type="dxa"/>
          </w:tblCellMar>
        </w:tblPrEx>
        <w:trPr>
          <w:trHeight w:val="272" w:hRule="atLeast"/>
          <w:jc w:val="center"/>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jc w:val="center"/>
              <w:rPr>
                <w:rFonts w:hint="default" w:ascii="宋体" w:hAnsi="宋体"/>
                <w:sz w:val="24"/>
                <w:lang w:val="en-US" w:eastAsia="zh-CN"/>
              </w:rPr>
            </w:pPr>
            <w:r>
              <w:rPr>
                <w:rFonts w:hint="eastAsia" w:ascii="宋体" w:hAnsi="宋体"/>
                <w:sz w:val="24"/>
                <w:lang w:val="en-US" w:eastAsia="zh-CN"/>
              </w:rPr>
              <w:t>设计方案</w:t>
            </w:r>
          </w:p>
        </w:tc>
        <w:tc>
          <w:tcPr>
            <w:tcW w:w="1068" w:type="dxa"/>
            <w:tcBorders>
              <w:top w:val="single" w:color="auto" w:sz="4" w:space="0"/>
              <w:left w:val="nil"/>
              <w:bottom w:val="single" w:color="auto" w:sz="4" w:space="0"/>
              <w:right w:val="single" w:color="auto" w:sz="4" w:space="0"/>
            </w:tcBorders>
            <w:noWrap w:val="0"/>
            <w:vAlign w:val="center"/>
          </w:tcPr>
          <w:p>
            <w:pPr>
              <w:snapToGrid w:val="0"/>
              <w:spacing w:line="480" w:lineRule="auto"/>
              <w:jc w:val="center"/>
              <w:rPr>
                <w:rFonts w:hint="default" w:ascii="宋体" w:hAnsi="宋体" w:cs="宋体"/>
                <w:sz w:val="24"/>
                <w:lang w:val="en-US" w:eastAsia="zh-CN"/>
              </w:rPr>
            </w:pPr>
            <w:r>
              <w:rPr>
                <w:rFonts w:hint="eastAsia" w:ascii="宋体" w:hAnsi="宋体" w:cs="宋体"/>
                <w:sz w:val="24"/>
                <w:lang w:val="en-US" w:eastAsia="zh-CN"/>
              </w:rPr>
              <w:t>20</w:t>
            </w:r>
          </w:p>
        </w:tc>
        <w:tc>
          <w:tcPr>
            <w:tcW w:w="61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default" w:ascii="宋体" w:hAnsi="宋体" w:cs="宋体"/>
                <w:sz w:val="24"/>
                <w:lang w:val="en-US" w:eastAsia="zh-CN"/>
              </w:rPr>
            </w:pPr>
            <w:r>
              <w:rPr>
                <w:rFonts w:hint="eastAsia" w:ascii="宋体" w:hAnsi="宋体" w:cs="宋体"/>
                <w:sz w:val="24"/>
                <w:lang w:val="en-US" w:eastAsia="zh-CN"/>
              </w:rPr>
              <w:t>设计方案优秀得20分，较好得15分，一般得10分，较差得5分，无设计方案得0分。</w:t>
            </w:r>
          </w:p>
        </w:tc>
      </w:tr>
      <w:tr>
        <w:tblPrEx>
          <w:tblCellMar>
            <w:top w:w="0" w:type="dxa"/>
            <w:left w:w="108" w:type="dxa"/>
            <w:bottom w:w="0" w:type="dxa"/>
            <w:right w:w="108" w:type="dxa"/>
          </w:tblCellMar>
        </w:tblPrEx>
        <w:trPr>
          <w:trHeight w:val="272" w:hRule="atLeast"/>
          <w:jc w:val="center"/>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jc w:val="center"/>
              <w:rPr>
                <w:rFonts w:hint="default" w:ascii="宋体" w:hAnsi="宋体" w:eastAsia="宋体" w:cs="宋体"/>
                <w:sz w:val="24"/>
                <w:lang w:val="en-US" w:eastAsia="zh-CN"/>
              </w:rPr>
            </w:pPr>
            <w:r>
              <w:rPr>
                <w:rFonts w:hint="eastAsia" w:ascii="宋体" w:hAnsi="宋体"/>
                <w:sz w:val="24"/>
                <w:lang w:val="en-US" w:eastAsia="zh-CN"/>
              </w:rPr>
              <w:t>服务方案</w:t>
            </w:r>
          </w:p>
        </w:tc>
        <w:tc>
          <w:tcPr>
            <w:tcW w:w="1068" w:type="dxa"/>
            <w:tcBorders>
              <w:top w:val="single" w:color="auto" w:sz="4" w:space="0"/>
              <w:left w:val="nil"/>
              <w:bottom w:val="single" w:color="auto" w:sz="4" w:space="0"/>
              <w:right w:val="single" w:color="auto" w:sz="4" w:space="0"/>
            </w:tcBorders>
            <w:noWrap w:val="0"/>
            <w:vAlign w:val="center"/>
          </w:tcPr>
          <w:p>
            <w:pPr>
              <w:snapToGrid w:val="0"/>
              <w:spacing w:line="480" w:lineRule="auto"/>
              <w:jc w:val="center"/>
              <w:rPr>
                <w:rFonts w:hint="default" w:ascii="宋体" w:hAnsi="宋体" w:eastAsia="宋体" w:cs="宋体"/>
                <w:sz w:val="24"/>
                <w:lang w:val="en-US" w:eastAsia="zh-CN"/>
              </w:rPr>
            </w:pPr>
            <w:r>
              <w:rPr>
                <w:rFonts w:hint="eastAsia" w:ascii="宋体" w:hAnsi="宋体" w:cs="宋体"/>
                <w:sz w:val="24"/>
                <w:lang w:val="en-US" w:eastAsia="zh-CN"/>
              </w:rPr>
              <w:t>20</w:t>
            </w:r>
          </w:p>
        </w:tc>
        <w:tc>
          <w:tcPr>
            <w:tcW w:w="61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jc w:val="left"/>
              <w:textAlignment w:val="auto"/>
              <w:rPr>
                <w:rFonts w:hint="eastAsia" w:ascii="宋体" w:hAnsi="宋体" w:cs="宋体"/>
                <w:sz w:val="24"/>
              </w:rPr>
            </w:pPr>
            <w:r>
              <w:rPr>
                <w:rFonts w:hint="eastAsia" w:ascii="宋体" w:hAnsi="宋体" w:cs="宋体"/>
                <w:sz w:val="24"/>
                <w:lang w:val="en-US" w:eastAsia="zh-CN"/>
              </w:rPr>
              <w:t>根据供应商提供的服务方案进行打分，服务方案优秀得20分，服务方案较好得15分，服务方案一般得10分，服务方案较差得5分，无服务方案得0分。（服务方案需包含售后服务内容，其中方案内售后质保期需体现为2年及以上，如无质保期体现，本项得分为0分）</w:t>
            </w:r>
          </w:p>
        </w:tc>
      </w:tr>
      <w:tr>
        <w:tblPrEx>
          <w:tblCellMar>
            <w:top w:w="0" w:type="dxa"/>
            <w:left w:w="108" w:type="dxa"/>
            <w:bottom w:w="0" w:type="dxa"/>
            <w:right w:w="108" w:type="dxa"/>
          </w:tblCellMar>
        </w:tblPrEx>
        <w:trPr>
          <w:trHeight w:val="272" w:hRule="atLeast"/>
          <w:jc w:val="center"/>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jc w:val="center"/>
              <w:rPr>
                <w:rFonts w:hint="default" w:ascii="宋体" w:hAnsi="宋体"/>
                <w:sz w:val="24"/>
                <w:lang w:val="en-US" w:eastAsia="zh-CN"/>
              </w:rPr>
            </w:pPr>
            <w:r>
              <w:rPr>
                <w:rFonts w:hint="eastAsia" w:ascii="宋体" w:hAnsi="宋体"/>
                <w:sz w:val="24"/>
                <w:lang w:val="en-US" w:eastAsia="zh-CN"/>
              </w:rPr>
              <w:t>业绩</w:t>
            </w:r>
          </w:p>
        </w:tc>
        <w:tc>
          <w:tcPr>
            <w:tcW w:w="1068" w:type="dxa"/>
            <w:tcBorders>
              <w:top w:val="single" w:color="auto" w:sz="4" w:space="0"/>
              <w:left w:val="nil"/>
              <w:bottom w:val="single" w:color="auto" w:sz="4" w:space="0"/>
              <w:right w:val="single" w:color="auto" w:sz="4" w:space="0"/>
            </w:tcBorders>
            <w:noWrap w:val="0"/>
            <w:vAlign w:val="center"/>
          </w:tcPr>
          <w:p>
            <w:pPr>
              <w:snapToGrid w:val="0"/>
              <w:spacing w:line="480" w:lineRule="auto"/>
              <w:jc w:val="center"/>
              <w:rPr>
                <w:rFonts w:hint="default" w:ascii="宋体" w:hAnsi="宋体" w:cs="宋体"/>
                <w:sz w:val="24"/>
                <w:lang w:val="en-US" w:eastAsia="zh-CN"/>
              </w:rPr>
            </w:pPr>
            <w:r>
              <w:rPr>
                <w:rFonts w:hint="eastAsia" w:ascii="宋体" w:hAnsi="宋体" w:cs="宋体"/>
                <w:sz w:val="24"/>
                <w:lang w:val="en-US" w:eastAsia="zh-CN"/>
              </w:rPr>
              <w:t>20</w:t>
            </w:r>
          </w:p>
        </w:tc>
        <w:tc>
          <w:tcPr>
            <w:tcW w:w="612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宋体" w:hAnsi="宋体" w:eastAsia="宋体"/>
                <w:sz w:val="24"/>
                <w:lang w:val="en-US" w:eastAsia="zh-CN"/>
              </w:rPr>
            </w:pPr>
            <w:r>
              <w:rPr>
                <w:rFonts w:hint="eastAsia" w:ascii="宋体" w:hAnsi="宋体"/>
                <w:sz w:val="24"/>
                <w:lang w:val="en-US" w:eastAsia="zh-CN"/>
              </w:rPr>
              <w:t>与政府机关、企事业单位合作的参选人，每合作一家得5分，本项共计20分（提供合同复印件并加盖公章）。</w:t>
            </w:r>
          </w:p>
        </w:tc>
      </w:tr>
      <w:tr>
        <w:tblPrEx>
          <w:tblCellMar>
            <w:top w:w="0" w:type="dxa"/>
            <w:left w:w="108" w:type="dxa"/>
            <w:bottom w:w="0" w:type="dxa"/>
            <w:right w:w="108" w:type="dxa"/>
          </w:tblCellMar>
        </w:tblPrEx>
        <w:trPr>
          <w:trHeight w:val="1175" w:hRule="atLeast"/>
          <w:jc w:val="center"/>
        </w:trPr>
        <w:tc>
          <w:tcPr>
            <w:tcW w:w="1906" w:type="dxa"/>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jc w:val="center"/>
              <w:rPr>
                <w:rFonts w:hint="default"/>
                <w:lang w:val="en-US" w:eastAsia="zh-CN"/>
              </w:rPr>
            </w:pPr>
            <w:r>
              <w:rPr>
                <w:rFonts w:hint="eastAsia" w:ascii="宋体" w:hAnsi="宋体"/>
                <w:sz w:val="24"/>
                <w:lang w:val="en-US" w:eastAsia="zh-CN"/>
              </w:rPr>
              <w:t>施工进度</w:t>
            </w:r>
          </w:p>
        </w:tc>
        <w:tc>
          <w:tcPr>
            <w:tcW w:w="1068" w:type="dxa"/>
            <w:tcBorders>
              <w:top w:val="single" w:color="auto" w:sz="4" w:space="0"/>
              <w:left w:val="nil"/>
              <w:bottom w:val="single" w:color="auto" w:sz="4" w:space="0"/>
              <w:right w:val="single" w:color="auto" w:sz="4" w:space="0"/>
            </w:tcBorders>
            <w:noWrap w:val="0"/>
            <w:vAlign w:val="center"/>
          </w:tcPr>
          <w:p>
            <w:pPr>
              <w:snapToGrid w:val="0"/>
              <w:spacing w:line="480" w:lineRule="auto"/>
              <w:jc w:val="center"/>
              <w:rPr>
                <w:rFonts w:hint="default" w:ascii="宋体" w:hAnsi="宋体" w:eastAsia="宋体" w:cs="宋体"/>
                <w:kern w:val="2"/>
                <w:sz w:val="24"/>
                <w:szCs w:val="24"/>
                <w:lang w:val="en-US" w:eastAsia="zh-CN" w:bidi="ar-SA"/>
              </w:rPr>
            </w:pPr>
            <w:r>
              <w:rPr>
                <w:rFonts w:hint="eastAsia" w:ascii="宋体" w:hAnsi="宋体" w:cs="宋体"/>
                <w:sz w:val="24"/>
                <w:lang w:val="en-US" w:eastAsia="zh-CN"/>
              </w:rPr>
              <w:t>10</w:t>
            </w:r>
          </w:p>
        </w:tc>
        <w:tc>
          <w:tcPr>
            <w:tcW w:w="6127"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default" w:ascii="宋体" w:hAnsi="宋体" w:eastAsia="宋体" w:cs="宋体"/>
                <w:kern w:val="2"/>
                <w:sz w:val="24"/>
                <w:szCs w:val="24"/>
                <w:lang w:val="en-US" w:eastAsia="zh-CN" w:bidi="ar-SA"/>
              </w:rPr>
            </w:pPr>
            <w:r>
              <w:rPr>
                <w:rFonts w:hint="eastAsia" w:ascii="宋体" w:hAnsi="宋体"/>
                <w:sz w:val="24"/>
                <w:lang w:val="en-US" w:eastAsia="zh-CN"/>
              </w:rPr>
              <w:t>能在合同签署后5天内完成项目设计方案出具并完成施工得10分；10天内完成项目设计方案出具并完成施工得5分；15天内完成项目设计方案出具并完成施工得2分；无施工进度承诺为0分。</w:t>
            </w:r>
          </w:p>
        </w:tc>
      </w:tr>
      <w:tr>
        <w:tblPrEx>
          <w:tblCellMar>
            <w:top w:w="0" w:type="dxa"/>
            <w:left w:w="108" w:type="dxa"/>
            <w:bottom w:w="0" w:type="dxa"/>
            <w:right w:w="108" w:type="dxa"/>
          </w:tblCellMar>
        </w:tblPrEx>
        <w:trPr>
          <w:trHeight w:val="437" w:hRule="atLeast"/>
          <w:jc w:val="center"/>
        </w:trPr>
        <w:tc>
          <w:tcPr>
            <w:tcW w:w="1906"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auto"/>
              <w:jc w:val="center"/>
              <w:rPr>
                <w:rFonts w:hint="eastAsia" w:ascii="宋体" w:hAnsi="宋体" w:cs="宋体"/>
                <w:sz w:val="24"/>
              </w:rPr>
            </w:pPr>
            <w:r>
              <w:rPr>
                <w:rFonts w:hint="eastAsia" w:ascii="宋体" w:hAnsi="宋体" w:cs="宋体"/>
                <w:sz w:val="24"/>
              </w:rPr>
              <w:t>合计</w:t>
            </w:r>
          </w:p>
        </w:tc>
        <w:tc>
          <w:tcPr>
            <w:tcW w:w="7195" w:type="dxa"/>
            <w:gridSpan w:val="2"/>
            <w:tcBorders>
              <w:top w:val="nil"/>
              <w:left w:val="nil"/>
              <w:bottom w:val="single" w:color="auto" w:sz="4" w:space="0"/>
              <w:right w:val="single" w:color="auto" w:sz="4" w:space="0"/>
            </w:tcBorders>
            <w:noWrap w:val="0"/>
            <w:vAlign w:val="center"/>
          </w:tcPr>
          <w:p>
            <w:pPr>
              <w:snapToGrid w:val="0"/>
              <w:spacing w:line="480" w:lineRule="auto"/>
              <w:jc w:val="center"/>
              <w:rPr>
                <w:rFonts w:hint="eastAsia" w:ascii="宋体" w:hAnsi="宋体" w:cs="宋体"/>
                <w:sz w:val="24"/>
              </w:rPr>
            </w:pPr>
            <w:r>
              <w:rPr>
                <w:rFonts w:hint="eastAsia" w:ascii="宋体" w:hAnsi="宋体" w:cs="宋体"/>
                <w:sz w:val="24"/>
                <w:lang w:val="en-US" w:eastAsia="zh-CN"/>
              </w:rPr>
              <w:t>100</w:t>
            </w:r>
            <w:r>
              <w:rPr>
                <w:rFonts w:hint="eastAsia" w:ascii="宋体" w:hAnsi="宋体" w:cs="宋体"/>
                <w:sz w:val="24"/>
              </w:rPr>
              <w:t>分</w:t>
            </w:r>
          </w:p>
        </w:tc>
      </w:tr>
    </w:tbl>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outlineLvl w:val="0"/>
        <w:rPr>
          <w:rFonts w:hint="eastAsia" w:ascii="方正小标宋简体" w:hAnsi="方正小标宋简体" w:eastAsia="方正小标宋简体" w:cs="方正小标宋简体"/>
          <w:b w:val="0"/>
          <w:bCs w:val="0"/>
          <w:color w:val="000000"/>
          <w:sz w:val="32"/>
          <w:szCs w:val="32"/>
        </w:rPr>
      </w:pPr>
      <w:bookmarkStart w:id="79" w:name="_Toc13648951"/>
      <w:bookmarkStart w:id="80" w:name="_Toc17930"/>
      <w:r>
        <w:rPr>
          <w:rFonts w:hint="eastAsia" w:ascii="方正小标宋简体" w:hAnsi="方正小标宋简体" w:eastAsia="方正小标宋简体" w:cs="方正小标宋简体"/>
          <w:b w:val="0"/>
          <w:bCs w:val="0"/>
          <w:color w:val="000000"/>
          <w:sz w:val="32"/>
          <w:szCs w:val="32"/>
          <w:lang w:val="en-US" w:eastAsia="zh-CN"/>
        </w:rPr>
        <w:t xml:space="preserve">第四章 </w:t>
      </w:r>
      <w:r>
        <w:rPr>
          <w:rFonts w:hint="eastAsia" w:ascii="方正小标宋简体" w:hAnsi="方正小标宋简体" w:eastAsia="方正小标宋简体" w:cs="方正小标宋简体"/>
          <w:b w:val="0"/>
          <w:bCs w:val="0"/>
          <w:color w:val="000000"/>
          <w:sz w:val="32"/>
          <w:szCs w:val="32"/>
        </w:rPr>
        <w:t>响应文件格式模板（附后）</w:t>
      </w:r>
      <w:bookmarkEnd w:id="79"/>
      <w:bookmarkEnd w:id="80"/>
    </w:p>
    <w:p>
      <w:pPr>
        <w:pStyle w:val="2"/>
        <w:ind w:left="0" w:leftChars="0" w:firstLine="0" w:firstLineChars="0"/>
        <w:rPr>
          <w:rFonts w:hint="eastAsia" w:ascii="仿宋" w:hAnsi="仿宋" w:eastAsia="仿宋" w:cs="仿宋"/>
          <w:b/>
          <w:color w:val="auto"/>
          <w:sz w:val="28"/>
          <w:szCs w:val="28"/>
          <w:lang w:val="en-US" w:eastAsia="zh-CN"/>
        </w:rPr>
      </w:pPr>
    </w:p>
    <w:p>
      <w:pPr>
        <w:rPr>
          <w:rFonts w:hint="eastAsia"/>
          <w:lang w:val="en-US" w:eastAsia="zh-CN"/>
        </w:rPr>
      </w:pPr>
    </w:p>
    <w:p>
      <w:pPr>
        <w:tabs>
          <w:tab w:val="left" w:pos="900"/>
          <w:tab w:val="left" w:pos="1080"/>
        </w:tabs>
        <w:spacing w:line="360" w:lineRule="auto"/>
        <w:jc w:val="both"/>
        <w:rPr>
          <w:rFonts w:hint="eastAsia" w:ascii="仿宋" w:hAnsi="仿宋" w:eastAsia="仿宋" w:cs="仿宋"/>
          <w:b/>
          <w:color w:val="000000"/>
          <w:sz w:val="48"/>
          <w:szCs w:val="48"/>
          <w:lang w:val="en-US" w:eastAsia="zh-CN"/>
        </w:rPr>
      </w:pPr>
      <w:r>
        <w:rPr>
          <w:rFonts w:hint="eastAsia" w:ascii="仿宋" w:hAnsi="仿宋" w:eastAsia="仿宋" w:cs="仿宋"/>
          <w:b/>
          <w:color w:val="auto"/>
          <w:sz w:val="28"/>
          <w:szCs w:val="28"/>
          <w:lang w:val="en-US" w:eastAsia="zh-CN"/>
        </w:rPr>
        <w:t>参选资料参考格式：</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sz w:val="32"/>
          <w:szCs w:val="32"/>
          <w:lang w:val="en-US" w:eastAsia="zh-CN"/>
        </w:rPr>
      </w:pPr>
    </w:p>
    <w:p>
      <w:pPr>
        <w:rPr>
          <w:rFonts w:hint="eastAsia" w:ascii="宋体" w:hAnsi="宋体" w:eastAsia="黑体"/>
          <w:color w:val="000000"/>
          <w:sz w:val="24"/>
          <w:lang w:eastAsia="zh-CN"/>
        </w:rPr>
      </w:pPr>
      <w:r>
        <w:rPr>
          <w:rFonts w:hint="eastAsia" w:ascii="黑体" w:hAnsi="黑体" w:eastAsia="黑体" w:cs="黑体"/>
          <w:color w:val="000000"/>
          <w:sz w:val="24"/>
        </w:rPr>
        <w:t>（封面）</w:t>
      </w:r>
    </w:p>
    <w:p>
      <w:pPr>
        <w:rPr>
          <w:rFonts w:ascii="宋体" w:hAnsi="宋体"/>
          <w:color w:val="000000"/>
          <w:sz w:val="24"/>
        </w:rPr>
      </w:pPr>
    </w:p>
    <w:p>
      <w:pPr>
        <w:rPr>
          <w:rFonts w:ascii="宋体" w:hAnsi="宋体"/>
          <w:color w:val="000000"/>
          <w:sz w:val="24"/>
        </w:rPr>
      </w:pPr>
    </w:p>
    <w:p>
      <w:pPr>
        <w:jc w:val="center"/>
        <w:rPr>
          <w:rFonts w:ascii="宋体" w:hAnsi="宋体" w:cs="仿宋"/>
          <w:b/>
          <w:bCs/>
          <w:color w:val="000000"/>
          <w:sz w:val="112"/>
          <w:szCs w:val="112"/>
        </w:rPr>
      </w:pPr>
      <w:r>
        <w:rPr>
          <w:rFonts w:hint="eastAsia" w:ascii="黑体" w:hAnsi="黑体" w:eastAsia="黑体" w:cs="黑体"/>
          <w:b w:val="0"/>
          <w:bCs w:val="0"/>
          <w:color w:val="000000"/>
          <w:sz w:val="112"/>
          <w:szCs w:val="112"/>
        </w:rPr>
        <w:t>响应文件</w:t>
      </w:r>
    </w:p>
    <w:p>
      <w:pPr>
        <w:jc w:val="center"/>
        <w:rPr>
          <w:rFonts w:ascii="宋体" w:hAnsi="宋体" w:cs="仿宋"/>
          <w:color w:val="000000"/>
          <w:sz w:val="48"/>
          <w:szCs w:val="48"/>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（正本/副本）</w:t>
      </w:r>
    </w:p>
    <w:p>
      <w:pPr>
        <w:pStyle w:val="2"/>
        <w:rPr>
          <w:rFonts w:hint="eastAsia"/>
        </w:rPr>
      </w:pPr>
    </w:p>
    <w:p>
      <w:pPr>
        <w:rPr>
          <w:rFonts w:hint="eastAsia" w:ascii="仿宋" w:hAnsi="仿宋" w:eastAsia="仿宋" w:cs="仿宋"/>
          <w:color w:val="000000"/>
          <w:sz w:val="28"/>
          <w:szCs w:val="28"/>
          <w:u w:val="single"/>
          <w:lang w:eastAsia="zh-CN"/>
        </w:rPr>
      </w:pPr>
      <w:r>
        <w:rPr>
          <w:rFonts w:hint="eastAsia" w:ascii="仿宋" w:hAnsi="仿宋" w:eastAsia="仿宋" w:cs="仿宋"/>
          <w:color w:val="000000"/>
          <w:sz w:val="28"/>
          <w:szCs w:val="28"/>
        </w:rPr>
        <w:t>采购名称：</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参选人：</w:t>
      </w:r>
      <w:r>
        <w:rPr>
          <w:rFonts w:hint="eastAsia" w:ascii="仿宋" w:hAnsi="仿宋" w:eastAsia="仿宋" w:cs="仿宋"/>
          <w:color w:val="000000"/>
          <w:sz w:val="28"/>
          <w:szCs w:val="28"/>
          <w:u w:val="single"/>
        </w:rPr>
        <w:t>（参选人公章）</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法定代表人：</w:t>
      </w:r>
    </w:p>
    <w:p>
      <w:pPr>
        <w:jc w:val="cente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被授权代表人：</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rPr>
        <w:t>联系电话：</w:t>
      </w:r>
    </w:p>
    <w:p>
      <w:pPr>
        <w:jc w:val="center"/>
        <w:rPr>
          <w:rFonts w:hint="eastAsia" w:ascii="仿宋" w:hAnsi="仿宋" w:eastAsia="仿宋" w:cs="仿宋"/>
          <w:color w:val="000000"/>
          <w:sz w:val="24"/>
        </w:rPr>
      </w:pPr>
    </w:p>
    <w:p>
      <w:pPr>
        <w:jc w:val="center"/>
        <w:rPr>
          <w:rFonts w:hint="eastAsia" w:ascii="仿宋" w:hAnsi="仿宋" w:eastAsia="仿宋" w:cs="仿宋"/>
          <w:color w:val="000000"/>
          <w:sz w:val="24"/>
        </w:rPr>
      </w:pPr>
    </w:p>
    <w:p>
      <w:pPr>
        <w:jc w:val="center"/>
        <w:rPr>
          <w:rFonts w:hint="eastAsia" w:ascii="黑体" w:hAnsi="黑体" w:eastAsia="黑体" w:cs="黑体"/>
          <w:b w:val="0"/>
          <w:bCs/>
          <w:color w:val="000000"/>
          <w:sz w:val="32"/>
          <w:szCs w:val="32"/>
        </w:rPr>
      </w:pPr>
      <w:r>
        <w:rPr>
          <w:rFonts w:hint="eastAsia" w:ascii="仿宋" w:hAnsi="仿宋" w:eastAsia="仿宋" w:cs="仿宋"/>
          <w:color w:val="000000"/>
          <w:sz w:val="28"/>
          <w:szCs w:val="28"/>
        </w:rPr>
        <w:t>参选日期：</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日</w:t>
      </w:r>
      <w:r>
        <w:rPr>
          <w:rFonts w:hint="eastAsia" w:ascii="宋体" w:hAnsi="宋体" w:cs="仿宋"/>
          <w:color w:val="000000"/>
          <w:sz w:val="28"/>
          <w:szCs w:val="28"/>
        </w:rPr>
        <w:br w:type="page"/>
      </w:r>
      <w:r>
        <w:rPr>
          <w:rFonts w:hint="eastAsia" w:ascii="黑体" w:hAnsi="黑体" w:eastAsia="黑体" w:cs="黑体"/>
          <w:b w:val="0"/>
          <w:bCs/>
          <w:color w:val="000000"/>
          <w:sz w:val="32"/>
          <w:szCs w:val="32"/>
        </w:rPr>
        <w:t>目录</w:t>
      </w:r>
    </w:p>
    <w:p>
      <w:pPr>
        <w:jc w:val="center"/>
        <w:rPr>
          <w:rFonts w:hint="eastAsia" w:ascii="黑体" w:hAnsi="黑体" w:eastAsia="黑体" w:cs="黑体"/>
          <w:b w:val="0"/>
          <w:bCs/>
          <w:color w:val="000000"/>
          <w:sz w:val="32"/>
          <w:szCs w:val="32"/>
          <w:lang w:eastAsia="zh-CN"/>
        </w:rPr>
      </w:pPr>
    </w:p>
    <w:p>
      <w:pPr>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格式自拟</w:t>
      </w: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outlineLvl w:val="1"/>
        <w:rPr>
          <w:rFonts w:hint="eastAsia" w:ascii="黑体" w:hAnsi="黑体" w:eastAsia="黑体" w:cs="黑体"/>
          <w:b w:val="0"/>
          <w:bCs/>
          <w:color w:val="000000"/>
          <w:sz w:val="32"/>
          <w:szCs w:val="32"/>
        </w:rPr>
      </w:pPr>
      <w:bookmarkStart w:id="81" w:name="_Toc20773"/>
      <w:r>
        <w:rPr>
          <w:rFonts w:hint="eastAsia" w:ascii="黑体" w:hAnsi="黑体" w:eastAsia="黑体" w:cs="黑体"/>
          <w:b w:val="0"/>
          <w:bCs/>
          <w:color w:val="000000"/>
          <w:sz w:val="32"/>
          <w:szCs w:val="32"/>
        </w:rPr>
        <w:t>一、法定代表人身份证明及授权委托书</w:t>
      </w:r>
      <w:bookmarkEnd w:id="81"/>
    </w:p>
    <w:p>
      <w:pPr>
        <w:numPr>
          <w:ilvl w:val="1"/>
          <w:numId w:val="2"/>
        </w:numPr>
        <w:tabs>
          <w:tab w:val="left" w:pos="1080"/>
          <w:tab w:val="clear" w:pos="1500"/>
        </w:tabs>
        <w:ind w:left="1080"/>
        <w:jc w:val="center"/>
        <w:outlineLvl w:val="2"/>
        <w:rPr>
          <w:rFonts w:hint="eastAsia" w:ascii="黑体" w:hAnsi="黑体" w:eastAsia="黑体" w:cs="黑体"/>
          <w:color w:val="000000"/>
          <w:sz w:val="36"/>
          <w:szCs w:val="36"/>
        </w:rPr>
      </w:pPr>
      <w:bookmarkStart w:id="82" w:name="_Toc29519"/>
      <w:r>
        <w:rPr>
          <w:rFonts w:hint="eastAsia" w:ascii="黑体" w:hAnsi="黑体" w:eastAsia="黑体" w:cs="黑体"/>
          <w:color w:val="000000"/>
          <w:sz w:val="36"/>
          <w:szCs w:val="36"/>
        </w:rPr>
        <w:t>法定代表人身份证明</w:t>
      </w:r>
      <w:bookmarkEnd w:id="82"/>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lang w:eastAsia="zh-CN"/>
        </w:rPr>
      </w:pPr>
      <w:r>
        <w:rPr>
          <w:rFonts w:hint="eastAsia" w:ascii="仿宋" w:hAnsi="仿宋" w:eastAsia="仿宋" w:cs="仿宋"/>
          <w:color w:val="000000"/>
          <w:sz w:val="28"/>
          <w:szCs w:val="28"/>
        </w:rPr>
        <w:t>参选人名称：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lang w:eastAsia="zh-CN"/>
        </w:rPr>
      </w:pPr>
      <w:r>
        <w:rPr>
          <w:rFonts w:hint="eastAsia" w:ascii="仿宋" w:hAnsi="仿宋" w:eastAsia="仿宋" w:cs="仿宋"/>
          <w:color w:val="000000"/>
          <w:sz w:val="28"/>
          <w:szCs w:val="28"/>
        </w:rPr>
        <w:t>单位性质：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lang w:eastAsia="zh-CN"/>
        </w:rPr>
      </w:pPr>
      <w:r>
        <w:rPr>
          <w:rFonts w:hint="eastAsia" w:ascii="仿宋" w:hAnsi="仿宋" w:eastAsia="仿宋" w:cs="仿宋"/>
          <w:color w:val="000000"/>
          <w:sz w:val="28"/>
          <w:szCs w:val="28"/>
        </w:rPr>
        <w:t>地址：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成立时间：年月日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lang w:eastAsia="zh-CN"/>
        </w:rPr>
      </w:pPr>
      <w:r>
        <w:rPr>
          <w:rFonts w:hint="eastAsia" w:ascii="仿宋" w:hAnsi="仿宋" w:eastAsia="仿宋" w:cs="仿宋"/>
          <w:color w:val="000000"/>
          <w:sz w:val="28"/>
          <w:szCs w:val="28"/>
        </w:rPr>
        <w:t>姓名：性别：年龄：职务：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系（参选人名称）的法定代表人。</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特此证明。</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参选人：（单位盖章）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身份证附后</w:t>
      </w: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numPr>
          <w:ilvl w:val="1"/>
          <w:numId w:val="2"/>
        </w:numPr>
        <w:tabs>
          <w:tab w:val="left" w:pos="1080"/>
          <w:tab w:val="clear" w:pos="1500"/>
        </w:tabs>
        <w:ind w:left="1080"/>
        <w:jc w:val="center"/>
        <w:outlineLvl w:val="2"/>
        <w:rPr>
          <w:rFonts w:hint="eastAsia" w:ascii="黑体" w:hAnsi="黑体" w:eastAsia="黑体" w:cs="黑体"/>
          <w:color w:val="000000"/>
          <w:sz w:val="36"/>
          <w:szCs w:val="36"/>
        </w:rPr>
      </w:pPr>
      <w:bookmarkStart w:id="83" w:name="_Toc26256"/>
      <w:r>
        <w:rPr>
          <w:rFonts w:hint="eastAsia" w:ascii="黑体" w:hAnsi="黑体" w:eastAsia="黑体" w:cs="黑体"/>
          <w:color w:val="000000"/>
          <w:sz w:val="36"/>
          <w:szCs w:val="36"/>
        </w:rPr>
        <w:t>法定代表人授权委托书</w:t>
      </w:r>
      <w:bookmarkEnd w:id="83"/>
    </w:p>
    <w:p>
      <w:pPr>
        <w:ind w:left="420" w:leftChars="200" w:firstLine="560" w:firstLineChars="200"/>
        <w:rPr>
          <w:rFonts w:ascii="宋体" w:hAnsi="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本授权委托书声明：我</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（姓名）系的法定代表人。现授权</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rPr>
        <w:t>（姓名）为我公司委托代理人，以本公司的名义参加（采购人）的</w:t>
      </w:r>
      <w:r>
        <w:rPr>
          <w:rFonts w:hint="eastAsia" w:ascii="仿宋" w:hAnsi="仿宋" w:eastAsia="仿宋" w:cs="仿宋"/>
          <w:color w:val="000000"/>
          <w:sz w:val="28"/>
          <w:szCs w:val="28"/>
          <w:u w:val="single"/>
          <w:lang w:val="en-US" w:eastAsia="zh-CN"/>
        </w:rPr>
        <w:t xml:space="preserve">  松山再生水利用配置试点项目宣传文化建设     </w:t>
      </w:r>
      <w:r>
        <w:rPr>
          <w:rFonts w:hint="eastAsia" w:ascii="仿宋" w:hAnsi="仿宋" w:eastAsia="仿宋" w:cs="仿宋"/>
          <w:color w:val="000000"/>
          <w:sz w:val="28"/>
          <w:szCs w:val="28"/>
        </w:rPr>
        <w:t>的比选活动。委托代理人在比选活动过程中所签署的一切文件和处理与之有关的一切</w:t>
      </w:r>
      <w:r>
        <w:rPr>
          <w:rFonts w:hint="eastAsia" w:ascii="仿宋" w:hAnsi="仿宋" w:eastAsia="仿宋" w:cs="仿宋"/>
          <w:color w:val="000000"/>
          <w:sz w:val="28"/>
          <w:szCs w:val="28"/>
          <w:highlight w:val="none"/>
        </w:rPr>
        <w:t>事</w:t>
      </w:r>
      <w:r>
        <w:rPr>
          <w:rFonts w:hint="eastAsia" w:ascii="仿宋" w:hAnsi="仿宋" w:eastAsia="仿宋" w:cs="仿宋"/>
          <w:color w:val="000000"/>
          <w:sz w:val="28"/>
          <w:szCs w:val="28"/>
          <w:highlight w:val="none"/>
          <w:lang w:eastAsia="zh-CN"/>
        </w:rPr>
        <w:t>务</w:t>
      </w:r>
      <w:r>
        <w:rPr>
          <w:rFonts w:hint="eastAsia" w:ascii="仿宋" w:hAnsi="仿宋" w:eastAsia="仿宋" w:cs="仿宋"/>
          <w:color w:val="000000"/>
          <w:sz w:val="28"/>
          <w:szCs w:val="28"/>
        </w:rPr>
        <w:t>，我及我公司均予以承认并全部承担其产生的所有权利和义务。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委托代理人无转委托权。特此委托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lang w:eastAsia="zh-CN"/>
        </w:rPr>
      </w:pPr>
      <w:r>
        <w:rPr>
          <w:rFonts w:hint="eastAsia" w:ascii="仿宋" w:hAnsi="仿宋" w:eastAsia="仿宋" w:cs="仿宋"/>
          <w:color w:val="000000"/>
          <w:sz w:val="28"/>
          <w:szCs w:val="28"/>
        </w:rPr>
        <w:t>委托代理人：性别：年龄：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lang w:eastAsia="zh-CN"/>
        </w:rPr>
      </w:pPr>
      <w:r>
        <w:rPr>
          <w:rFonts w:hint="eastAsia" w:ascii="仿宋" w:hAnsi="仿宋" w:eastAsia="仿宋" w:cs="仿宋"/>
          <w:color w:val="000000"/>
          <w:sz w:val="28"/>
          <w:szCs w:val="28"/>
        </w:rPr>
        <w:t>单位：部门：职务：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法定代表人：（签章）委托代理人：（签字）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参选人：（全称、盖章）</w:t>
      </w:r>
    </w:p>
    <w:p>
      <w:pPr>
        <w:keepNext w:val="0"/>
        <w:keepLines w:val="0"/>
        <w:pageBreakBefore w:val="0"/>
        <w:widowControl w:val="0"/>
        <w:kinsoku/>
        <w:wordWrap/>
        <w:overflowPunct/>
        <w:topLinePunct w:val="0"/>
        <w:autoSpaceDE/>
        <w:autoSpaceDN/>
        <w:bidi w:val="0"/>
        <w:adjustRightInd/>
        <w:snapToGrid/>
        <w:spacing w:line="600" w:lineRule="exact"/>
        <w:ind w:firstLine="840" w:firstLineChars="3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840" w:firstLineChars="300"/>
        <w:jc w:val="righ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日期：年月日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宋体" w:hAnsi="宋体"/>
          <w:b/>
          <w:bCs/>
          <w:color w:val="000000"/>
          <w:sz w:val="28"/>
          <w:szCs w:val="28"/>
        </w:rPr>
      </w:pPr>
      <w:r>
        <w:rPr>
          <w:rFonts w:hint="eastAsia" w:ascii="仿宋" w:hAnsi="仿宋" w:eastAsia="仿宋" w:cs="仿宋"/>
          <w:color w:val="000000"/>
          <w:sz w:val="28"/>
          <w:szCs w:val="28"/>
        </w:rPr>
        <w:t>身份证附后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p>
    <w:p>
      <w:pPr>
        <w:pStyle w:val="2"/>
        <w:rPr>
          <w:rFonts w:hint="eastAsia" w:ascii="仿宋" w:hAnsi="仿宋" w:eastAsia="仿宋" w:cs="仿宋"/>
          <w:b/>
          <w:bCs/>
          <w:sz w:val="32"/>
          <w:szCs w:val="32"/>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720" w:leftChars="0" w:hanging="720" w:firstLineChars="0"/>
        <w:textAlignment w:val="auto"/>
        <w:outlineLvl w:val="1"/>
        <w:rPr>
          <w:rFonts w:hint="eastAsia" w:ascii="黑体" w:hAnsi="黑体" w:eastAsia="黑体" w:cs="黑体"/>
          <w:b w:val="0"/>
          <w:bCs w:val="0"/>
          <w:sz w:val="32"/>
          <w:lang w:val="en-US" w:eastAsia="zh-CN"/>
        </w:rPr>
      </w:pPr>
      <w:bookmarkStart w:id="84" w:name="_Toc21251"/>
      <w:r>
        <w:rPr>
          <w:rFonts w:hint="eastAsia" w:ascii="黑体" w:hAnsi="黑体" w:eastAsia="黑体" w:cs="黑体"/>
          <w:b w:val="0"/>
          <w:bCs w:val="0"/>
          <w:sz w:val="32"/>
          <w:szCs w:val="32"/>
          <w:lang w:val="en-US" w:eastAsia="zh-CN"/>
        </w:rPr>
        <w:t>报价响应书</w:t>
      </w:r>
      <w:bookmarkEnd w:id="84"/>
    </w:p>
    <w:p>
      <w:pPr>
        <w:pStyle w:val="2"/>
        <w:ind w:left="0" w:leftChars="0" w:firstLine="0" w:firstLineChars="0"/>
        <w:rPr>
          <w:rFonts w:hint="eastAsia"/>
          <w:lang w:val="en-US" w:eastAsia="zh-CN"/>
        </w:rPr>
      </w:pPr>
    </w:p>
    <w:p>
      <w:pPr>
        <w:rPr>
          <w:rFonts w:hint="eastAsia"/>
          <w:lang w:val="en-US" w:eastAsia="zh-CN"/>
        </w:rPr>
      </w:pPr>
    </w:p>
    <w:p>
      <w:pPr>
        <w:bidi w:val="0"/>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rPr>
        <w:t>报价响应</w:t>
      </w:r>
      <w:r>
        <w:rPr>
          <w:rFonts w:hint="eastAsia" w:ascii="仿宋" w:hAnsi="仿宋" w:eastAsia="仿宋" w:cs="仿宋"/>
          <w:b/>
          <w:bCs/>
          <w:sz w:val="36"/>
          <w:szCs w:val="44"/>
          <w:lang w:val="en-US" w:eastAsia="zh-CN"/>
        </w:rPr>
        <w:t>书</w:t>
      </w:r>
    </w:p>
    <w:p>
      <w:pPr>
        <w:bidi w:val="0"/>
        <w:rPr>
          <w:rFonts w:hint="eastAsia" w:ascii="仿宋" w:hAnsi="仿宋" w:eastAsia="仿宋" w:cs="仿宋"/>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8"/>
          <w:szCs w:val="36"/>
        </w:rPr>
        <w:t>致：</w:t>
      </w:r>
      <w:r>
        <w:rPr>
          <w:rFonts w:hint="eastAsia" w:ascii="仿宋" w:hAnsi="仿宋" w:eastAsia="仿宋" w:cs="仿宋"/>
          <w:sz w:val="32"/>
          <w:szCs w:val="32"/>
          <w:u w:val="single"/>
          <w:lang w:val="en-US" w:eastAsia="zh-CN"/>
        </w:rPr>
        <w:t>贵州青源环境治理有限公司</w:t>
      </w:r>
      <w:r>
        <w:rPr>
          <w:rFonts w:hint="eastAsia" w:ascii="仿宋" w:hAnsi="仿宋" w:eastAsia="仿宋" w:cs="仿宋"/>
          <w:sz w:val="28"/>
          <w:szCs w:val="36"/>
          <w:lang w:val="en-US" w:eastAsia="zh-CN"/>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根据贵方为</w:t>
      </w:r>
      <w:r>
        <w:rPr>
          <w:rFonts w:hint="eastAsia" w:ascii="仿宋" w:hAnsi="仿宋" w:eastAsia="仿宋" w:cs="仿宋"/>
          <w:sz w:val="28"/>
          <w:szCs w:val="36"/>
          <w:u w:val="single"/>
          <w:lang w:val="en-US" w:eastAsia="zh-CN"/>
        </w:rPr>
        <w:t>松山再生水利用配置试点项目宣传文化建设</w:t>
      </w:r>
      <w:r>
        <w:rPr>
          <w:rFonts w:hint="eastAsia" w:ascii="仿宋" w:hAnsi="仿宋" w:eastAsia="仿宋" w:cs="仿宋"/>
          <w:sz w:val="28"/>
          <w:szCs w:val="36"/>
        </w:rPr>
        <w:t>的</w:t>
      </w:r>
      <w:r>
        <w:rPr>
          <w:rFonts w:hint="eastAsia" w:ascii="仿宋" w:hAnsi="仿宋" w:eastAsia="仿宋" w:cs="仿宋"/>
          <w:sz w:val="28"/>
          <w:szCs w:val="36"/>
          <w:lang w:val="en-US" w:eastAsia="zh-CN"/>
        </w:rPr>
        <w:t>采购响应</w:t>
      </w:r>
      <w:r>
        <w:rPr>
          <w:rFonts w:hint="eastAsia" w:ascii="仿宋" w:hAnsi="仿宋" w:eastAsia="仿宋" w:cs="仿宋"/>
          <w:sz w:val="28"/>
          <w:szCs w:val="36"/>
        </w:rPr>
        <w:t>，</w:t>
      </w:r>
      <w:r>
        <w:rPr>
          <w:rFonts w:hint="eastAsia" w:ascii="仿宋" w:hAnsi="仿宋" w:eastAsia="仿宋" w:cs="仿宋"/>
          <w:sz w:val="28"/>
          <w:szCs w:val="36"/>
          <w:lang w:val="en-US" w:eastAsia="zh-CN"/>
        </w:rPr>
        <w:t>姓名</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u w:val="none"/>
          <w:lang w:eastAsia="zh-CN"/>
        </w:rPr>
        <w:t>，</w:t>
      </w:r>
      <w:r>
        <w:rPr>
          <w:rFonts w:hint="eastAsia" w:ascii="仿宋" w:hAnsi="仿宋" w:eastAsia="仿宋" w:cs="仿宋"/>
          <w:sz w:val="28"/>
          <w:szCs w:val="36"/>
          <w:u w:val="none"/>
          <w:lang w:val="en-US" w:eastAsia="zh-CN"/>
        </w:rPr>
        <w:t>身份证号</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none"/>
          <w:lang w:val="en-US" w:eastAsia="zh-CN"/>
        </w:rPr>
        <w:t>，</w:t>
      </w:r>
      <w:r>
        <w:rPr>
          <w:rFonts w:hint="eastAsia" w:ascii="仿宋" w:hAnsi="仿宋" w:eastAsia="仿宋" w:cs="仿宋"/>
          <w:sz w:val="28"/>
          <w:szCs w:val="36"/>
        </w:rPr>
        <w:t>经正式授权并代表响应供应商</w:t>
      </w:r>
      <w:r>
        <w:rPr>
          <w:rFonts w:hint="eastAsia" w:ascii="仿宋" w:hAnsi="仿宋" w:eastAsia="仿宋" w:cs="仿宋"/>
          <w:sz w:val="28"/>
          <w:szCs w:val="36"/>
          <w:lang w:val="en-US" w:eastAsia="zh-CN"/>
        </w:rPr>
        <w:t>（参选人名称）</w:t>
      </w:r>
      <w:r>
        <w:rPr>
          <w:rFonts w:hint="eastAsia" w:ascii="仿宋" w:hAnsi="仿宋" w:eastAsia="仿宋" w:cs="仿宋"/>
          <w:sz w:val="28"/>
          <w:szCs w:val="36"/>
        </w:rPr>
        <w:t>提交以下报价文件。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8"/>
          <w:szCs w:val="36"/>
        </w:rPr>
        <w:t>据此函，签字代表宣布同意如下：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val="en-US" w:eastAsia="zh-CN"/>
        </w:rPr>
        <w:t>.采购</w:t>
      </w:r>
      <w:r>
        <w:rPr>
          <w:rFonts w:hint="eastAsia" w:ascii="仿宋" w:hAnsi="仿宋" w:eastAsia="仿宋" w:cs="仿宋"/>
          <w:sz w:val="28"/>
          <w:szCs w:val="36"/>
        </w:rPr>
        <w:t>响应供应商将按</w:t>
      </w:r>
      <w:r>
        <w:rPr>
          <w:rFonts w:hint="eastAsia" w:ascii="仿宋" w:hAnsi="仿宋" w:eastAsia="仿宋" w:cs="仿宋"/>
          <w:sz w:val="28"/>
          <w:szCs w:val="36"/>
          <w:lang w:val="en-US" w:eastAsia="zh-CN"/>
        </w:rPr>
        <w:t>采购</w:t>
      </w:r>
      <w:r>
        <w:rPr>
          <w:rFonts w:hint="eastAsia" w:ascii="仿宋" w:hAnsi="仿宋" w:eastAsia="仿宋" w:cs="仿宋"/>
          <w:sz w:val="28"/>
          <w:szCs w:val="36"/>
        </w:rPr>
        <w:t>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val="en-US" w:eastAsia="zh-CN"/>
        </w:rPr>
        <w:t>.采购</w:t>
      </w:r>
      <w:r>
        <w:rPr>
          <w:rFonts w:hint="eastAsia" w:ascii="仿宋" w:hAnsi="仿宋" w:eastAsia="仿宋" w:cs="仿宋"/>
          <w:sz w:val="28"/>
          <w:szCs w:val="36"/>
        </w:rPr>
        <w:t>响应供应商已详细审查全部</w:t>
      </w:r>
      <w:r>
        <w:rPr>
          <w:rFonts w:hint="eastAsia" w:ascii="仿宋" w:hAnsi="仿宋" w:eastAsia="仿宋" w:cs="仿宋"/>
          <w:sz w:val="28"/>
          <w:szCs w:val="36"/>
          <w:lang w:val="en-US" w:eastAsia="zh-CN"/>
        </w:rPr>
        <w:t>采购</w:t>
      </w:r>
      <w:r>
        <w:rPr>
          <w:rFonts w:hint="eastAsia" w:ascii="仿宋" w:hAnsi="仿宋" w:eastAsia="仿宋" w:cs="仿宋"/>
          <w:sz w:val="28"/>
          <w:szCs w:val="36"/>
        </w:rPr>
        <w:t>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.采购</w:t>
      </w:r>
      <w:r>
        <w:rPr>
          <w:rFonts w:hint="eastAsia" w:ascii="仿宋" w:hAnsi="仿宋" w:eastAsia="仿宋" w:cs="仿宋"/>
          <w:sz w:val="28"/>
          <w:szCs w:val="36"/>
        </w:rPr>
        <w:t>响应供应商同意提供采购方可能要求的与其</w:t>
      </w:r>
      <w:r>
        <w:rPr>
          <w:rFonts w:hint="eastAsia" w:ascii="仿宋" w:hAnsi="仿宋" w:eastAsia="仿宋" w:cs="仿宋"/>
          <w:sz w:val="28"/>
          <w:szCs w:val="36"/>
          <w:lang w:val="en-US" w:eastAsia="zh-CN"/>
        </w:rPr>
        <w:t>采购</w:t>
      </w:r>
      <w:r>
        <w:rPr>
          <w:rFonts w:hint="eastAsia" w:ascii="仿宋" w:hAnsi="仿宋" w:eastAsia="仿宋" w:cs="仿宋"/>
          <w:sz w:val="28"/>
          <w:szCs w:val="36"/>
        </w:rPr>
        <w:t>响应文件有关的一切数据或资料。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4</w:t>
      </w:r>
      <w:r>
        <w:rPr>
          <w:rFonts w:hint="eastAsia" w:ascii="仿宋" w:hAnsi="仿宋" w:eastAsia="仿宋" w:cs="仿宋"/>
          <w:sz w:val="28"/>
          <w:szCs w:val="36"/>
          <w:lang w:val="en-US" w:eastAsia="zh-CN"/>
        </w:rPr>
        <w:t>.</w:t>
      </w:r>
      <w:r>
        <w:rPr>
          <w:rFonts w:hint="eastAsia" w:ascii="仿宋" w:hAnsi="仿宋" w:eastAsia="仿宋" w:cs="仿宋"/>
          <w:sz w:val="28"/>
          <w:szCs w:val="36"/>
          <w:lang w:eastAsia="zh-CN"/>
        </w:rPr>
        <w:t>服务商</w:t>
      </w:r>
      <w:r>
        <w:rPr>
          <w:rFonts w:hint="eastAsia" w:ascii="仿宋" w:hAnsi="仿宋" w:eastAsia="仿宋" w:cs="仿宋"/>
          <w:sz w:val="28"/>
          <w:szCs w:val="36"/>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响应供应商</w:t>
      </w:r>
      <w:r>
        <w:rPr>
          <w:rFonts w:hint="eastAsia" w:ascii="仿宋" w:hAnsi="仿宋" w:eastAsia="仿宋" w:cs="仿宋"/>
          <w:sz w:val="28"/>
          <w:szCs w:val="36"/>
          <w:lang w:val="en-US" w:eastAsia="zh-CN"/>
        </w:rPr>
        <w:t>联系人</w:t>
      </w:r>
      <w:r>
        <w:rPr>
          <w:rFonts w:hint="eastAsia" w:ascii="仿宋" w:hAnsi="仿宋" w:eastAsia="仿宋" w:cs="仿宋"/>
          <w:sz w:val="28"/>
          <w:szCs w:val="36"/>
        </w:rPr>
        <w:t>姓名：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联系电话：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响应供应商（盖公章）：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日期：</w:t>
      </w:r>
      <w:r>
        <w:rPr>
          <w:rFonts w:hint="eastAsia" w:ascii="仿宋" w:hAnsi="仿宋" w:eastAsia="仿宋" w:cs="仿宋"/>
          <w:sz w:val="28"/>
          <w:szCs w:val="36"/>
          <w:lang w:val="en-US" w:eastAsia="zh-CN"/>
        </w:rPr>
        <w:t>2023</w:t>
      </w:r>
      <w:r>
        <w:rPr>
          <w:rFonts w:hint="eastAsia" w:ascii="仿宋" w:hAnsi="仿宋" w:eastAsia="仿宋" w:cs="仿宋"/>
          <w:sz w:val="28"/>
          <w:szCs w:val="36"/>
        </w:rPr>
        <w:t>年</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月</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日</w:t>
      </w:r>
    </w:p>
    <w:p>
      <w:pPr>
        <w:pStyle w:val="2"/>
        <w:rPr>
          <w:rFonts w:hint="eastAsi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rPr>
          <w:rFonts w:hint="eastAsia" w:ascii="仿宋" w:hAnsi="仿宋" w:eastAsia="仿宋" w:cs="仿宋"/>
          <w:b w:val="0"/>
          <w:bCs/>
          <w:color w:val="000000"/>
          <w:sz w:val="28"/>
          <w:szCs w:val="28"/>
          <w:lang w:val="en-US" w:eastAsia="zh-CN"/>
        </w:rPr>
      </w:pPr>
      <w:r>
        <w:rPr>
          <w:rFonts w:hint="eastAsia" w:ascii="黑体" w:hAnsi="黑体" w:eastAsia="黑体" w:cs="黑体"/>
          <w:b w:val="0"/>
          <w:bCs/>
          <w:color w:val="000000"/>
          <w:sz w:val="32"/>
          <w:szCs w:val="32"/>
          <w:lang w:val="en-US" w:eastAsia="zh-CN"/>
        </w:rPr>
        <w:t>报价表</w:t>
      </w:r>
    </w:p>
    <w:p>
      <w:pPr>
        <w:jc w:val="center"/>
        <w:rPr>
          <w:rFonts w:hint="default"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松山再生水利</w:t>
      </w:r>
      <w:r>
        <w:rPr>
          <w:rFonts w:hint="eastAsia" w:ascii="仿宋" w:hAnsi="仿宋" w:eastAsia="仿宋" w:cs="仿宋"/>
          <w:b w:val="0"/>
          <w:bCs/>
          <w:color w:val="000000"/>
          <w:sz w:val="30"/>
          <w:szCs w:val="30"/>
          <w:lang w:val="en-US" w:eastAsia="zh-CN"/>
        </w:rPr>
        <w:t>用配置试</w:t>
      </w:r>
      <w:r>
        <w:rPr>
          <w:rFonts w:hint="eastAsia" w:ascii="仿宋" w:hAnsi="仿宋" w:eastAsia="仿宋" w:cs="仿宋"/>
          <w:b w:val="0"/>
          <w:bCs/>
          <w:color w:val="000000"/>
          <w:sz w:val="32"/>
          <w:szCs w:val="32"/>
          <w:lang w:val="en-US" w:eastAsia="zh-CN"/>
        </w:rPr>
        <w:t>点项目宣传文化建设报价表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049"/>
        <w:gridCol w:w="1090"/>
        <w:gridCol w:w="1150"/>
        <w:gridCol w:w="1030"/>
        <w:gridCol w:w="107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序号</w:t>
            </w:r>
          </w:p>
        </w:tc>
        <w:tc>
          <w:tcPr>
            <w:tcW w:w="2049"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名称</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单位</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数量</w:t>
            </w:r>
          </w:p>
        </w:tc>
        <w:tc>
          <w:tcPr>
            <w:tcW w:w="103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单价</w:t>
            </w:r>
          </w:p>
        </w:tc>
        <w:tc>
          <w:tcPr>
            <w:tcW w:w="107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总价</w:t>
            </w:r>
          </w:p>
        </w:tc>
        <w:tc>
          <w:tcPr>
            <w:tcW w:w="916"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2049" w:type="dxa"/>
            <w:vAlign w:val="top"/>
          </w:tcPr>
          <w:p>
            <w:pPr>
              <w:pStyle w:val="2"/>
              <w:ind w:left="0" w:leftChars="0" w:firstLine="0" w:firstLineChars="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再生水主题宣传</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1030" w:type="dxa"/>
            <w:vAlign w:val="top"/>
          </w:tcPr>
          <w:p>
            <w:pPr>
              <w:pStyle w:val="2"/>
              <w:jc w:val="both"/>
              <w:rPr>
                <w:rFonts w:hint="eastAsia" w:ascii="仿宋" w:hAnsi="仿宋" w:eastAsia="仿宋" w:cs="仿宋"/>
                <w:sz w:val="30"/>
                <w:szCs w:val="30"/>
                <w:vertAlign w:val="baseline"/>
                <w:lang w:val="en-US" w:eastAsia="zh-CN"/>
              </w:rPr>
            </w:pPr>
          </w:p>
        </w:tc>
        <w:tc>
          <w:tcPr>
            <w:tcW w:w="1070" w:type="dxa"/>
            <w:vAlign w:val="top"/>
          </w:tcPr>
          <w:p>
            <w:pPr>
              <w:pStyle w:val="2"/>
              <w:jc w:val="both"/>
              <w:rPr>
                <w:rFonts w:hint="eastAsia" w:ascii="仿宋" w:hAnsi="仿宋" w:eastAsia="仿宋" w:cs="仿宋"/>
                <w:sz w:val="30"/>
                <w:szCs w:val="30"/>
                <w:vertAlign w:val="baseline"/>
                <w:lang w:val="en-US" w:eastAsia="zh-CN"/>
              </w:rPr>
            </w:pPr>
          </w:p>
        </w:tc>
        <w:tc>
          <w:tcPr>
            <w:tcW w:w="916" w:type="dxa"/>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2049" w:type="dxa"/>
            <w:vAlign w:val="top"/>
          </w:tcPr>
          <w:p>
            <w:pPr>
              <w:pStyle w:val="2"/>
              <w:ind w:left="0" w:leftChars="0" w:firstLine="0" w:firstLineChars="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宣传标语展示牌</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1030" w:type="dxa"/>
            <w:vAlign w:val="top"/>
          </w:tcPr>
          <w:p>
            <w:pPr>
              <w:pStyle w:val="2"/>
              <w:jc w:val="both"/>
              <w:rPr>
                <w:rFonts w:hint="eastAsia" w:ascii="仿宋" w:hAnsi="仿宋" w:eastAsia="仿宋" w:cs="仿宋"/>
                <w:sz w:val="30"/>
                <w:szCs w:val="30"/>
                <w:vertAlign w:val="baseline"/>
                <w:lang w:val="en-US" w:eastAsia="zh-CN"/>
              </w:rPr>
            </w:pPr>
          </w:p>
        </w:tc>
        <w:tc>
          <w:tcPr>
            <w:tcW w:w="1070" w:type="dxa"/>
            <w:vAlign w:val="top"/>
          </w:tcPr>
          <w:p>
            <w:pPr>
              <w:pStyle w:val="2"/>
              <w:jc w:val="both"/>
              <w:rPr>
                <w:rFonts w:hint="eastAsia" w:ascii="仿宋" w:hAnsi="仿宋" w:eastAsia="仿宋" w:cs="仿宋"/>
                <w:sz w:val="30"/>
                <w:szCs w:val="30"/>
                <w:vertAlign w:val="baseline"/>
                <w:lang w:val="en-US" w:eastAsia="zh-CN"/>
              </w:rPr>
            </w:pPr>
          </w:p>
        </w:tc>
        <w:tc>
          <w:tcPr>
            <w:tcW w:w="916" w:type="dxa"/>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w:t>
            </w:r>
          </w:p>
        </w:tc>
        <w:tc>
          <w:tcPr>
            <w:tcW w:w="2049" w:type="dxa"/>
            <w:vAlign w:val="top"/>
          </w:tcPr>
          <w:p>
            <w:pPr>
              <w:pStyle w:val="2"/>
              <w:ind w:left="0" w:leftChars="0" w:firstLine="0" w:firstLineChars="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取水点标识</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w:t>
            </w:r>
          </w:p>
        </w:tc>
        <w:tc>
          <w:tcPr>
            <w:tcW w:w="1030" w:type="dxa"/>
            <w:vAlign w:val="top"/>
          </w:tcPr>
          <w:p>
            <w:pPr>
              <w:pStyle w:val="2"/>
              <w:jc w:val="both"/>
              <w:rPr>
                <w:rFonts w:hint="eastAsia" w:ascii="仿宋" w:hAnsi="仿宋" w:eastAsia="仿宋" w:cs="仿宋"/>
                <w:sz w:val="30"/>
                <w:szCs w:val="30"/>
                <w:vertAlign w:val="baseline"/>
                <w:lang w:val="en-US" w:eastAsia="zh-CN"/>
              </w:rPr>
            </w:pPr>
          </w:p>
        </w:tc>
        <w:tc>
          <w:tcPr>
            <w:tcW w:w="1070" w:type="dxa"/>
            <w:vAlign w:val="top"/>
          </w:tcPr>
          <w:p>
            <w:pPr>
              <w:pStyle w:val="2"/>
              <w:jc w:val="both"/>
              <w:rPr>
                <w:rFonts w:hint="eastAsia" w:ascii="仿宋" w:hAnsi="仿宋" w:eastAsia="仿宋" w:cs="仿宋"/>
                <w:sz w:val="30"/>
                <w:szCs w:val="30"/>
                <w:vertAlign w:val="baseline"/>
                <w:lang w:val="en-US" w:eastAsia="zh-CN"/>
              </w:rPr>
            </w:pPr>
          </w:p>
        </w:tc>
        <w:tc>
          <w:tcPr>
            <w:tcW w:w="916" w:type="dxa"/>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4</w:t>
            </w:r>
          </w:p>
        </w:tc>
        <w:tc>
          <w:tcPr>
            <w:tcW w:w="2049" w:type="dxa"/>
            <w:vAlign w:val="top"/>
          </w:tcPr>
          <w:p>
            <w:pPr>
              <w:pStyle w:val="2"/>
              <w:ind w:left="0" w:leftChars="0" w:firstLine="0" w:firstLineChars="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思想引领标语展示</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1030" w:type="dxa"/>
            <w:vAlign w:val="top"/>
          </w:tcPr>
          <w:p>
            <w:pPr>
              <w:pStyle w:val="2"/>
              <w:jc w:val="both"/>
              <w:rPr>
                <w:rFonts w:hint="eastAsia" w:ascii="仿宋" w:hAnsi="仿宋" w:eastAsia="仿宋" w:cs="仿宋"/>
                <w:sz w:val="30"/>
                <w:szCs w:val="30"/>
                <w:vertAlign w:val="baseline"/>
                <w:lang w:val="en-US" w:eastAsia="zh-CN"/>
              </w:rPr>
            </w:pPr>
          </w:p>
        </w:tc>
        <w:tc>
          <w:tcPr>
            <w:tcW w:w="1070" w:type="dxa"/>
            <w:vAlign w:val="top"/>
          </w:tcPr>
          <w:p>
            <w:pPr>
              <w:pStyle w:val="2"/>
              <w:jc w:val="both"/>
              <w:rPr>
                <w:rFonts w:hint="eastAsia" w:ascii="仿宋" w:hAnsi="仿宋" w:eastAsia="仿宋" w:cs="仿宋"/>
                <w:sz w:val="30"/>
                <w:szCs w:val="30"/>
                <w:vertAlign w:val="baseline"/>
                <w:lang w:val="en-US" w:eastAsia="zh-CN"/>
              </w:rPr>
            </w:pPr>
          </w:p>
        </w:tc>
        <w:tc>
          <w:tcPr>
            <w:tcW w:w="916" w:type="dxa"/>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5</w:t>
            </w:r>
          </w:p>
        </w:tc>
        <w:tc>
          <w:tcPr>
            <w:tcW w:w="2049" w:type="dxa"/>
            <w:vAlign w:val="top"/>
          </w:tcPr>
          <w:p>
            <w:pPr>
              <w:pStyle w:val="2"/>
              <w:ind w:left="0" w:leftChars="0" w:firstLine="0" w:firstLineChars="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再生水历史发展文化墙</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1030" w:type="dxa"/>
            <w:vAlign w:val="top"/>
          </w:tcPr>
          <w:p>
            <w:pPr>
              <w:pStyle w:val="2"/>
              <w:jc w:val="both"/>
              <w:rPr>
                <w:rFonts w:hint="eastAsia" w:ascii="仿宋" w:hAnsi="仿宋" w:eastAsia="仿宋" w:cs="仿宋"/>
                <w:sz w:val="30"/>
                <w:szCs w:val="30"/>
                <w:vertAlign w:val="baseline"/>
                <w:lang w:val="en-US" w:eastAsia="zh-CN"/>
              </w:rPr>
            </w:pPr>
          </w:p>
        </w:tc>
        <w:tc>
          <w:tcPr>
            <w:tcW w:w="1070" w:type="dxa"/>
            <w:vAlign w:val="top"/>
          </w:tcPr>
          <w:p>
            <w:pPr>
              <w:pStyle w:val="2"/>
              <w:jc w:val="both"/>
              <w:rPr>
                <w:rFonts w:hint="eastAsia" w:ascii="仿宋" w:hAnsi="仿宋" w:eastAsia="仿宋" w:cs="仿宋"/>
                <w:sz w:val="30"/>
                <w:szCs w:val="30"/>
                <w:vertAlign w:val="baseline"/>
                <w:lang w:val="en-US" w:eastAsia="zh-CN"/>
              </w:rPr>
            </w:pPr>
          </w:p>
        </w:tc>
        <w:tc>
          <w:tcPr>
            <w:tcW w:w="916" w:type="dxa"/>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6</w:t>
            </w:r>
          </w:p>
        </w:tc>
        <w:tc>
          <w:tcPr>
            <w:tcW w:w="2049" w:type="dxa"/>
            <w:vAlign w:val="top"/>
          </w:tcPr>
          <w:p>
            <w:pPr>
              <w:pStyle w:val="2"/>
              <w:ind w:left="0" w:leftChars="0" w:firstLine="0" w:firstLineChars="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设备简介牌</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w:t>
            </w:r>
          </w:p>
        </w:tc>
        <w:tc>
          <w:tcPr>
            <w:tcW w:w="1030" w:type="dxa"/>
            <w:vAlign w:val="top"/>
          </w:tcPr>
          <w:p>
            <w:pPr>
              <w:pStyle w:val="2"/>
              <w:jc w:val="both"/>
              <w:rPr>
                <w:rFonts w:hint="eastAsia" w:ascii="仿宋" w:hAnsi="仿宋" w:eastAsia="仿宋" w:cs="仿宋"/>
                <w:sz w:val="30"/>
                <w:szCs w:val="30"/>
                <w:vertAlign w:val="baseline"/>
                <w:lang w:val="en-US" w:eastAsia="zh-CN"/>
              </w:rPr>
            </w:pPr>
          </w:p>
        </w:tc>
        <w:tc>
          <w:tcPr>
            <w:tcW w:w="1070" w:type="dxa"/>
            <w:vAlign w:val="top"/>
          </w:tcPr>
          <w:p>
            <w:pPr>
              <w:pStyle w:val="2"/>
              <w:jc w:val="both"/>
              <w:rPr>
                <w:rFonts w:hint="eastAsia" w:ascii="仿宋" w:hAnsi="仿宋" w:eastAsia="仿宋" w:cs="仿宋"/>
                <w:sz w:val="30"/>
                <w:szCs w:val="30"/>
                <w:vertAlign w:val="baseline"/>
                <w:lang w:val="en-US" w:eastAsia="zh-CN"/>
              </w:rPr>
            </w:pPr>
          </w:p>
        </w:tc>
        <w:tc>
          <w:tcPr>
            <w:tcW w:w="916" w:type="dxa"/>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7</w:t>
            </w:r>
          </w:p>
        </w:tc>
        <w:tc>
          <w:tcPr>
            <w:tcW w:w="2049" w:type="dxa"/>
            <w:vAlign w:val="top"/>
          </w:tcPr>
          <w:p>
            <w:pPr>
              <w:pStyle w:val="2"/>
              <w:ind w:left="0" w:leftChars="0" w:firstLine="0" w:firstLineChars="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2楼电梯间吉祥物指示牌</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w:t>
            </w:r>
          </w:p>
        </w:tc>
        <w:tc>
          <w:tcPr>
            <w:tcW w:w="1030" w:type="dxa"/>
            <w:vAlign w:val="top"/>
          </w:tcPr>
          <w:p>
            <w:pPr>
              <w:pStyle w:val="2"/>
              <w:jc w:val="both"/>
              <w:rPr>
                <w:rFonts w:hint="eastAsia" w:ascii="仿宋" w:hAnsi="仿宋" w:eastAsia="仿宋" w:cs="仿宋"/>
                <w:sz w:val="30"/>
                <w:szCs w:val="30"/>
                <w:vertAlign w:val="baseline"/>
                <w:lang w:val="en-US" w:eastAsia="zh-CN"/>
              </w:rPr>
            </w:pPr>
          </w:p>
        </w:tc>
        <w:tc>
          <w:tcPr>
            <w:tcW w:w="1070" w:type="dxa"/>
            <w:vAlign w:val="top"/>
          </w:tcPr>
          <w:p>
            <w:pPr>
              <w:pStyle w:val="2"/>
              <w:jc w:val="both"/>
              <w:rPr>
                <w:rFonts w:hint="eastAsia" w:ascii="仿宋" w:hAnsi="仿宋" w:eastAsia="仿宋" w:cs="仿宋"/>
                <w:sz w:val="30"/>
                <w:szCs w:val="30"/>
                <w:vertAlign w:val="baseline"/>
                <w:lang w:val="en-US" w:eastAsia="zh-CN"/>
              </w:rPr>
            </w:pPr>
          </w:p>
        </w:tc>
        <w:tc>
          <w:tcPr>
            <w:tcW w:w="916" w:type="dxa"/>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8</w:t>
            </w:r>
          </w:p>
        </w:tc>
        <w:tc>
          <w:tcPr>
            <w:tcW w:w="2049" w:type="dxa"/>
            <w:vAlign w:val="top"/>
          </w:tcPr>
          <w:p>
            <w:pPr>
              <w:pStyle w:val="2"/>
              <w:ind w:left="0" w:leftChars="0" w:firstLine="0" w:firstLineChars="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围栏文化宣传</w:t>
            </w:r>
          </w:p>
        </w:tc>
        <w:tc>
          <w:tcPr>
            <w:tcW w:w="109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套</w:t>
            </w:r>
          </w:p>
        </w:tc>
        <w:tc>
          <w:tcPr>
            <w:tcW w:w="1150"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3</w:t>
            </w:r>
          </w:p>
        </w:tc>
        <w:tc>
          <w:tcPr>
            <w:tcW w:w="1030" w:type="dxa"/>
            <w:vAlign w:val="top"/>
          </w:tcPr>
          <w:p>
            <w:pPr>
              <w:pStyle w:val="2"/>
              <w:jc w:val="both"/>
              <w:rPr>
                <w:rFonts w:hint="eastAsia" w:ascii="仿宋" w:hAnsi="仿宋" w:eastAsia="仿宋" w:cs="仿宋"/>
                <w:sz w:val="30"/>
                <w:szCs w:val="30"/>
                <w:vertAlign w:val="baseline"/>
                <w:lang w:val="en-US" w:eastAsia="zh-CN"/>
              </w:rPr>
            </w:pPr>
          </w:p>
        </w:tc>
        <w:tc>
          <w:tcPr>
            <w:tcW w:w="1070" w:type="dxa"/>
            <w:vAlign w:val="top"/>
          </w:tcPr>
          <w:p>
            <w:pPr>
              <w:pStyle w:val="2"/>
              <w:jc w:val="both"/>
              <w:rPr>
                <w:rFonts w:hint="eastAsia" w:ascii="仿宋" w:hAnsi="仿宋" w:eastAsia="仿宋" w:cs="仿宋"/>
                <w:sz w:val="30"/>
                <w:szCs w:val="30"/>
                <w:vertAlign w:val="baseline"/>
                <w:lang w:val="en-US" w:eastAsia="zh-CN"/>
              </w:rPr>
            </w:pPr>
          </w:p>
        </w:tc>
        <w:tc>
          <w:tcPr>
            <w:tcW w:w="916" w:type="dxa"/>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17" w:type="dxa"/>
            <w:vAlign w:val="top"/>
          </w:tcPr>
          <w:p>
            <w:pPr>
              <w:pStyle w:val="2"/>
              <w:ind w:left="0" w:leftChars="0" w:firstLine="0" w:firstLineChars="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9</w:t>
            </w:r>
          </w:p>
        </w:tc>
        <w:tc>
          <w:tcPr>
            <w:tcW w:w="4289" w:type="dxa"/>
            <w:gridSpan w:val="3"/>
            <w:vAlign w:val="top"/>
          </w:tcPr>
          <w:p>
            <w:pPr>
              <w:pStyle w:val="2"/>
              <w:jc w:val="both"/>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小计金额</w:t>
            </w:r>
          </w:p>
        </w:tc>
        <w:tc>
          <w:tcPr>
            <w:tcW w:w="3016" w:type="dxa"/>
            <w:gridSpan w:val="3"/>
            <w:vAlign w:val="top"/>
          </w:tcPr>
          <w:p>
            <w:pPr>
              <w:pStyle w:val="2"/>
              <w:jc w:val="both"/>
              <w:rPr>
                <w:rFonts w:hint="eastAsia" w:ascii="仿宋" w:hAnsi="仿宋" w:eastAsia="仿宋" w:cs="仿宋"/>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17" w:type="dxa"/>
            <w:vAlign w:val="top"/>
          </w:tcPr>
          <w:p>
            <w:pPr>
              <w:pStyle w:val="2"/>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w:t>
            </w:r>
          </w:p>
        </w:tc>
        <w:tc>
          <w:tcPr>
            <w:tcW w:w="4289" w:type="dxa"/>
            <w:gridSpan w:val="3"/>
            <w:vAlign w:val="top"/>
          </w:tcPr>
          <w:p>
            <w:pPr>
              <w:pStyle w:val="2"/>
              <w:jc w:val="both"/>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税费（注明税率）</w:t>
            </w:r>
          </w:p>
        </w:tc>
        <w:tc>
          <w:tcPr>
            <w:tcW w:w="3016" w:type="dxa"/>
            <w:gridSpan w:val="3"/>
            <w:vAlign w:val="top"/>
          </w:tcPr>
          <w:p>
            <w:pPr>
              <w:pStyle w:val="2"/>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17" w:type="dxa"/>
            <w:vAlign w:val="top"/>
          </w:tcPr>
          <w:p>
            <w:pPr>
              <w:pStyle w:val="2"/>
              <w:ind w:left="0" w:leftChars="0" w:firstLine="0" w:firstLineChars="0"/>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11</w:t>
            </w:r>
          </w:p>
        </w:tc>
        <w:tc>
          <w:tcPr>
            <w:tcW w:w="4289" w:type="dxa"/>
            <w:gridSpan w:val="3"/>
            <w:vAlign w:val="top"/>
          </w:tcPr>
          <w:p>
            <w:pPr>
              <w:pStyle w:val="2"/>
              <w:jc w:val="both"/>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合计金额</w:t>
            </w:r>
          </w:p>
        </w:tc>
        <w:tc>
          <w:tcPr>
            <w:tcW w:w="3016" w:type="dxa"/>
            <w:gridSpan w:val="3"/>
            <w:vAlign w:val="top"/>
          </w:tcPr>
          <w:p>
            <w:pPr>
              <w:pStyle w:val="2"/>
              <w:jc w:val="both"/>
            </w:pPr>
          </w:p>
        </w:tc>
      </w:tr>
    </w:tbl>
    <w:p>
      <w:pPr>
        <w:rPr>
          <w:rFonts w:hint="eastAsia" w:ascii="仿宋" w:hAnsi="仿宋" w:eastAsia="仿宋" w:cs="仿宋"/>
          <w:b w:val="0"/>
          <w:bCs/>
          <w:color w:val="000000"/>
          <w:sz w:val="28"/>
          <w:szCs w:val="28"/>
          <w:lang w:val="en-US" w:eastAsia="zh-CN"/>
        </w:rPr>
      </w:pPr>
    </w:p>
    <w:p>
      <w:pPr>
        <w:ind w:firstLine="560" w:firstLineChars="200"/>
        <w:rPr>
          <w:rFonts w:hint="eastAsia" w:ascii="黑体" w:hAnsi="黑体" w:eastAsia="黑体" w:cs="黑体"/>
          <w:b w:val="0"/>
          <w:bCs/>
          <w:color w:val="000000"/>
          <w:sz w:val="28"/>
          <w:szCs w:val="28"/>
        </w:rPr>
      </w:pPr>
      <w:r>
        <w:rPr>
          <w:rFonts w:hint="eastAsia" w:ascii="仿宋" w:hAnsi="仿宋" w:eastAsia="仿宋" w:cs="仿宋"/>
          <w:b w:val="0"/>
          <w:bCs/>
          <w:color w:val="000000"/>
          <w:sz w:val="28"/>
          <w:szCs w:val="28"/>
          <w:lang w:val="en-US" w:eastAsia="zh-CN"/>
        </w:rPr>
        <w:t>注：如实际发生采购事项类别超出报价表供应范围，我公司将以低于市场价的价格提供给贵单位。</w:t>
      </w:r>
    </w:p>
    <w:p>
      <w:pPr>
        <w:rPr>
          <w:rFonts w:hint="eastAsia"/>
        </w:rPr>
      </w:pPr>
    </w:p>
    <w:p>
      <w:pPr>
        <w:rPr>
          <w:rFonts w:hint="eastAsia" w:ascii="黑体" w:hAnsi="黑体" w:eastAsia="黑体" w:cs="黑体"/>
          <w:b w:val="0"/>
          <w:bCs/>
          <w:color w:val="000000"/>
          <w:sz w:val="32"/>
          <w:szCs w:val="32"/>
        </w:rPr>
      </w:pPr>
    </w:p>
    <w:p>
      <w:pPr>
        <w:outlineLvl w:val="1"/>
        <w:rPr>
          <w:rFonts w:hint="eastAsia" w:ascii="黑体" w:hAnsi="黑体" w:eastAsia="黑体" w:cs="黑体"/>
          <w:b w:val="0"/>
          <w:bCs/>
          <w:color w:val="000000"/>
          <w:sz w:val="32"/>
          <w:szCs w:val="32"/>
        </w:rPr>
      </w:pPr>
      <w:bookmarkStart w:id="85" w:name="_Toc184"/>
      <w:r>
        <w:rPr>
          <w:rFonts w:hint="eastAsia" w:ascii="黑体" w:hAnsi="黑体" w:eastAsia="黑体" w:cs="黑体"/>
          <w:b w:val="0"/>
          <w:bCs/>
          <w:color w:val="000000"/>
          <w:sz w:val="32"/>
          <w:szCs w:val="32"/>
        </w:rPr>
        <w:t>三、</w:t>
      </w:r>
      <w:r>
        <w:rPr>
          <w:rFonts w:hint="eastAsia" w:ascii="黑体" w:hAnsi="黑体" w:eastAsia="黑体" w:cs="黑体"/>
          <w:b w:val="0"/>
          <w:bCs/>
          <w:color w:val="000000"/>
          <w:sz w:val="32"/>
          <w:szCs w:val="32"/>
          <w:lang w:val="en-US" w:eastAsia="zh-CN"/>
        </w:rPr>
        <w:t>服务供应商</w:t>
      </w:r>
      <w:r>
        <w:rPr>
          <w:rFonts w:hint="eastAsia" w:ascii="黑体" w:hAnsi="黑体" w:eastAsia="黑体" w:cs="黑体"/>
          <w:b w:val="0"/>
          <w:bCs/>
          <w:color w:val="000000"/>
          <w:sz w:val="32"/>
          <w:szCs w:val="32"/>
        </w:rPr>
        <w:t>基本情况表</w:t>
      </w:r>
      <w:bookmarkEnd w:id="85"/>
    </w:p>
    <w:p>
      <w:pPr>
        <w:spacing w:line="360" w:lineRule="exact"/>
        <w:ind w:hanging="720"/>
        <w:jc w:val="center"/>
        <w:rPr>
          <w:rFonts w:ascii="宋体" w:hAnsi="宋体"/>
          <w:b/>
          <w:bCs/>
          <w:color w:val="000000"/>
          <w:sz w:val="32"/>
          <w:szCs w:val="32"/>
        </w:rPr>
      </w:pPr>
    </w:p>
    <w:tbl>
      <w:tblPr>
        <w:tblStyle w:val="20"/>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848"/>
        <w:gridCol w:w="1474"/>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企业名称</w:t>
            </w:r>
          </w:p>
        </w:tc>
        <w:tc>
          <w:tcPr>
            <w:tcW w:w="6642"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经营地址</w:t>
            </w:r>
          </w:p>
        </w:tc>
        <w:tc>
          <w:tcPr>
            <w:tcW w:w="6642"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p>
        </w:tc>
        <w:tc>
          <w:tcPr>
            <w:tcW w:w="6642"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企业类型</w:t>
            </w:r>
          </w:p>
        </w:tc>
        <w:tc>
          <w:tcPr>
            <w:tcW w:w="6642"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经营范围</w:t>
            </w:r>
          </w:p>
        </w:tc>
        <w:tc>
          <w:tcPr>
            <w:tcW w:w="6642"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企业注册号</w:t>
            </w:r>
          </w:p>
        </w:tc>
        <w:tc>
          <w:tcPr>
            <w:tcW w:w="2848" w:type="dxa"/>
            <w:noWrap w:val="0"/>
            <w:vAlign w:val="center"/>
          </w:tcPr>
          <w:p>
            <w:pPr>
              <w:jc w:val="center"/>
              <w:rPr>
                <w:rFonts w:hint="eastAsia" w:ascii="仿宋" w:hAnsi="仿宋" w:eastAsia="仿宋" w:cs="仿宋"/>
                <w:color w:val="000000"/>
                <w:sz w:val="28"/>
                <w:szCs w:val="28"/>
              </w:rPr>
            </w:pPr>
          </w:p>
        </w:tc>
        <w:tc>
          <w:tcPr>
            <w:tcW w:w="147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c>
          <w:tcPr>
            <w:tcW w:w="2320" w:type="dxa"/>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营业期限</w:t>
            </w:r>
          </w:p>
        </w:tc>
        <w:tc>
          <w:tcPr>
            <w:tcW w:w="6642"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负责人</w:t>
            </w:r>
          </w:p>
        </w:tc>
        <w:tc>
          <w:tcPr>
            <w:tcW w:w="6642"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4" w:hRule="atLeast"/>
        </w:trPr>
        <w:tc>
          <w:tcPr>
            <w:tcW w:w="1817"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企业简介</w:t>
            </w:r>
          </w:p>
        </w:tc>
        <w:tc>
          <w:tcPr>
            <w:tcW w:w="6642" w:type="dxa"/>
            <w:gridSpan w:val="3"/>
            <w:noWrap w:val="0"/>
            <w:vAlign w:val="center"/>
          </w:tcPr>
          <w:p>
            <w:pPr>
              <w:jc w:val="center"/>
              <w:rPr>
                <w:rFonts w:hint="eastAsia" w:ascii="仿宋" w:hAnsi="仿宋" w:eastAsia="仿宋" w:cs="仿宋"/>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bCs/>
          <w:sz w:val="36"/>
          <w:szCs w:val="44"/>
          <w:lang w:val="en-US" w:eastAsia="zh-CN"/>
        </w:rPr>
      </w:pPr>
      <w:r>
        <w:rPr>
          <w:rFonts w:hint="eastAsia" w:ascii="仿宋" w:hAnsi="仿宋" w:eastAsia="仿宋" w:cs="仿宋"/>
          <w:color w:val="000000"/>
          <w:sz w:val="32"/>
          <w:szCs w:val="32"/>
        </w:rPr>
        <w:t>注：在本页后应附企业法人营业执照副本（“三证合一”营业执照副本）复印件（或扫描件）</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提供在《信用中国》网站（www.creditchina.gov.cn）信用信息栏中无任何不良记录的查询截图，加盖公章；以及依法缴纳税收和社会保障资金的良好记录。（提供2022年至响应文件递交截止日前任意连续三个月依法缴纳税收和社会保障资金的证明资料。如零申报，需提供税费申报材料。）</w:t>
      </w:r>
    </w:p>
    <w:p>
      <w:pPr>
        <w:numPr>
          <w:ilvl w:val="0"/>
          <w:numId w:val="0"/>
        </w:numPr>
        <w:ind w:leftChars="0"/>
        <w:jc w:val="both"/>
        <w:outlineLvl w:val="1"/>
        <w:rPr>
          <w:rFonts w:hint="eastAsia" w:ascii="黑体" w:hAnsi="黑体" w:eastAsia="黑体" w:cs="黑体"/>
          <w:b w:val="0"/>
          <w:bCs/>
          <w:color w:val="000000"/>
          <w:sz w:val="32"/>
          <w:szCs w:val="32"/>
        </w:rPr>
      </w:pPr>
      <w:bookmarkStart w:id="86" w:name="_Toc3419"/>
      <w:r>
        <w:rPr>
          <w:rFonts w:hint="eastAsia" w:ascii="黑体" w:hAnsi="黑体" w:eastAsia="黑体" w:cs="黑体"/>
          <w:b w:val="0"/>
          <w:bCs/>
          <w:color w:val="000000"/>
          <w:sz w:val="32"/>
          <w:szCs w:val="32"/>
          <w:lang w:val="en-US" w:eastAsia="zh-CN"/>
        </w:rPr>
        <w:t>四、服务方案</w:t>
      </w:r>
      <w:r>
        <w:rPr>
          <w:rFonts w:hint="eastAsia" w:ascii="黑体" w:hAnsi="黑体" w:eastAsia="黑体" w:cs="黑体"/>
          <w:b w:val="0"/>
          <w:bCs/>
          <w:color w:val="000000"/>
          <w:sz w:val="32"/>
          <w:szCs w:val="32"/>
        </w:rPr>
        <w:t>（格式自拟）</w:t>
      </w:r>
      <w:bookmarkEnd w:id="86"/>
    </w:p>
    <w:p>
      <w:pPr>
        <w:pStyle w:val="2"/>
        <w:numPr>
          <w:ilvl w:val="0"/>
          <w:numId w:val="0"/>
        </w:numPr>
        <w:ind w:leftChars="0" w:firstLine="640" w:firstLineChars="200"/>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根据采购方需求，工期、售后及供应商可提供的其他服务。</w:t>
      </w:r>
    </w:p>
    <w:p>
      <w:pPr>
        <w:numPr>
          <w:ilvl w:val="0"/>
          <w:numId w:val="0"/>
        </w:numPr>
        <w:ind w:left="0" w:leftChars="0"/>
        <w:jc w:val="both"/>
        <w:outlineLvl w:val="1"/>
        <w:rPr>
          <w:rFonts w:hint="eastAsia" w:ascii="黑体" w:hAnsi="黑体" w:eastAsia="黑体" w:cs="黑体"/>
          <w:b w:val="0"/>
          <w:bCs/>
          <w:color w:val="000000"/>
          <w:sz w:val="32"/>
          <w:szCs w:val="32"/>
        </w:rPr>
      </w:pPr>
      <w:bookmarkStart w:id="87" w:name="_Toc6491"/>
      <w:r>
        <w:rPr>
          <w:rFonts w:hint="eastAsia" w:ascii="黑体" w:hAnsi="黑体" w:eastAsia="黑体" w:cs="黑体"/>
          <w:b w:val="0"/>
          <w:bCs/>
          <w:color w:val="000000"/>
          <w:kern w:val="2"/>
          <w:sz w:val="32"/>
          <w:szCs w:val="32"/>
          <w:lang w:val="en-US" w:eastAsia="zh-CN" w:bidi="ar-SA"/>
        </w:rPr>
        <w:t>五、</w:t>
      </w:r>
      <w:r>
        <w:rPr>
          <w:rFonts w:hint="eastAsia" w:ascii="黑体" w:hAnsi="黑体" w:eastAsia="黑体" w:cs="黑体"/>
          <w:b w:val="0"/>
          <w:bCs/>
          <w:color w:val="000000"/>
          <w:sz w:val="32"/>
          <w:szCs w:val="32"/>
          <w:lang w:val="en-US" w:eastAsia="zh-CN"/>
        </w:rPr>
        <w:t>设计方案</w:t>
      </w:r>
      <w:r>
        <w:rPr>
          <w:rFonts w:hint="eastAsia" w:ascii="黑体" w:hAnsi="黑体" w:eastAsia="黑体" w:cs="黑体"/>
          <w:b w:val="0"/>
          <w:bCs/>
          <w:color w:val="000000"/>
          <w:sz w:val="32"/>
          <w:szCs w:val="32"/>
        </w:rPr>
        <w:t>（格式自拟）</w:t>
      </w:r>
      <w:bookmarkEnd w:id="87"/>
    </w:p>
    <w:p>
      <w:pPr>
        <w:pStyle w:val="2"/>
        <w:widowControl w:val="0"/>
        <w:numPr>
          <w:ilvl w:val="0"/>
          <w:numId w:val="0"/>
        </w:numPr>
        <w:spacing w:afterLines="0" w:afterAutospacing="0"/>
        <w:jc w:val="both"/>
        <w:rPr>
          <w:rFonts w:hint="eastAsia"/>
        </w:rPr>
      </w:pPr>
    </w:p>
    <w:p>
      <w:pPr>
        <w:rPr>
          <w:rFonts w:hint="eastAsia"/>
          <w:lang w:val="en-US" w:eastAsia="zh-CN"/>
        </w:rPr>
      </w:pP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六</w:t>
      </w:r>
      <w:r>
        <w:rPr>
          <w:rFonts w:hint="eastAsia" w:ascii="黑体" w:hAnsi="黑体" w:eastAsia="黑体" w:cs="黑体"/>
          <w:b w:val="0"/>
          <w:bCs/>
          <w:color w:val="000000"/>
          <w:sz w:val="32"/>
          <w:szCs w:val="32"/>
        </w:rPr>
        <w:t>、履行合同所</w:t>
      </w:r>
      <w:r>
        <w:rPr>
          <w:rFonts w:hint="eastAsia" w:ascii="黑体" w:hAnsi="黑体" w:eastAsia="黑体" w:cs="黑体"/>
          <w:b w:val="0"/>
          <w:bCs/>
          <w:color w:val="000000"/>
          <w:sz w:val="32"/>
          <w:szCs w:val="32"/>
          <w:highlight w:val="none"/>
        </w:rPr>
        <w:t>必</w:t>
      </w:r>
      <w:r>
        <w:rPr>
          <w:rFonts w:hint="eastAsia" w:ascii="黑体" w:hAnsi="黑体" w:eastAsia="黑体" w:cs="黑体"/>
          <w:b w:val="0"/>
          <w:bCs/>
          <w:color w:val="000000"/>
          <w:sz w:val="32"/>
          <w:szCs w:val="32"/>
          <w:highlight w:val="none"/>
          <w:lang w:eastAsia="zh-CN"/>
        </w:rPr>
        <w:t>需</w:t>
      </w:r>
      <w:r>
        <w:rPr>
          <w:rFonts w:hint="eastAsia" w:ascii="黑体" w:hAnsi="黑体" w:eastAsia="黑体" w:cs="黑体"/>
          <w:b w:val="0"/>
          <w:bCs/>
          <w:color w:val="000000"/>
          <w:sz w:val="32"/>
          <w:szCs w:val="32"/>
          <w:highlight w:val="none"/>
          <w:lang w:val="en-US" w:eastAsia="zh-CN"/>
        </w:rPr>
        <w:t>的</w:t>
      </w:r>
      <w:r>
        <w:rPr>
          <w:rFonts w:hint="eastAsia" w:ascii="黑体" w:hAnsi="黑体" w:eastAsia="黑体" w:cs="黑体"/>
          <w:b w:val="0"/>
          <w:bCs/>
          <w:color w:val="000000"/>
          <w:sz w:val="32"/>
          <w:szCs w:val="32"/>
        </w:rPr>
        <w:t>承诺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2"/>
        <w:rPr>
          <w:rFonts w:hint="eastAsia" w:ascii="仿宋" w:hAnsi="仿宋" w:eastAsia="仿宋" w:cs="仿宋"/>
          <w:b/>
          <w:bCs/>
          <w:sz w:val="36"/>
          <w:szCs w:val="44"/>
          <w:lang w:val="en-US" w:eastAsia="zh-CN"/>
        </w:rPr>
      </w:pPr>
      <w:bookmarkStart w:id="88" w:name="_Toc17942"/>
      <w:bookmarkStart w:id="89" w:name="_Toc22106"/>
      <w:bookmarkStart w:id="90" w:name="_Toc17677"/>
      <w:bookmarkStart w:id="91" w:name="_Toc9273"/>
      <w:r>
        <w:rPr>
          <w:rFonts w:hint="eastAsia" w:ascii="仿宋" w:hAnsi="仿宋" w:eastAsia="仿宋" w:cs="仿宋"/>
          <w:b/>
          <w:bCs/>
          <w:sz w:val="36"/>
          <w:szCs w:val="44"/>
          <w:lang w:val="en-US" w:eastAsia="zh-CN"/>
        </w:rPr>
        <w:t>近3年内在经营活动中</w:t>
      </w:r>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sz w:val="28"/>
          <w:szCs w:val="36"/>
          <w:u w:val="single"/>
          <w:lang w:val="en-US" w:eastAsia="zh-CN"/>
        </w:rPr>
      </w:pPr>
      <w:r>
        <w:rPr>
          <w:rFonts w:hint="eastAsia" w:ascii="仿宋" w:hAnsi="仿宋" w:eastAsia="仿宋" w:cs="仿宋"/>
          <w:sz w:val="28"/>
          <w:szCs w:val="36"/>
          <w:lang w:val="en-US" w:eastAsia="zh-CN"/>
        </w:rPr>
        <w:t>致：</w:t>
      </w:r>
      <w:r>
        <w:rPr>
          <w:rFonts w:hint="eastAsia" w:ascii="仿宋" w:hAnsi="仿宋" w:eastAsia="仿宋" w:cs="仿宋"/>
          <w:sz w:val="28"/>
          <w:szCs w:val="36"/>
          <w:u w:val="single"/>
          <w:lang w:val="en-US" w:eastAsia="zh-CN"/>
        </w:rPr>
        <w:t>贵州青源环境治理有限公司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我单位（参选人名称）近三年内，在参加采购活动中没有重大违法记录，特此声明。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若采购单位在本项目采购过程中发现我单位近三年内在采购活动中有重大违法记录，我单位将无条件地退出本项目的采购，并承担因此引起的一切后果。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采购响应商名称（单位公章）：</w:t>
      </w: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黑体" w:hAnsi="黑体" w:eastAsia="黑体" w:cs="黑体"/>
          <w:b w:val="0"/>
          <w:bCs/>
          <w:color w:val="000000"/>
          <w:sz w:val="32"/>
          <w:szCs w:val="32"/>
        </w:rPr>
      </w:pPr>
      <w:r>
        <w:rPr>
          <w:rFonts w:hint="eastAsia" w:ascii="仿宋" w:hAnsi="仿宋" w:eastAsia="仿宋" w:cs="仿宋"/>
          <w:sz w:val="28"/>
          <w:szCs w:val="36"/>
          <w:lang w:val="en-US" w:eastAsia="zh-CN"/>
        </w:rPr>
        <w:t>日期：2023年  月   日</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36"/>
          <w:szCs w:val="44"/>
        </w:rPr>
      </w:pPr>
      <w:r>
        <w:rPr>
          <w:rFonts w:hint="eastAsia" w:ascii="仿宋" w:hAnsi="仿宋" w:eastAsia="仿宋" w:cs="仿宋"/>
          <w:b/>
          <w:bCs/>
          <w:sz w:val="36"/>
          <w:szCs w:val="44"/>
        </w:rPr>
        <w:t>质量承诺函</w:t>
      </w:r>
    </w:p>
    <w:p>
      <w:pPr>
        <w:bidi w:val="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1.我公司保证及时满足服务；</w:t>
      </w:r>
    </w:p>
    <w:p>
      <w:pPr>
        <w:bidi w:val="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2.我公司承诺提供的项目材料质量符合国家现行质量标准；</w:t>
      </w:r>
    </w:p>
    <w:p>
      <w:pPr>
        <w:bidi w:val="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3.以上如有不实，甲方可终止合同，我方并对此负全责并赔偿甲方。</w:t>
      </w: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920" w:firstLineChars="14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采购响应商名称（单位公章）：</w:t>
      </w:r>
    </w:p>
    <w:p>
      <w:pPr>
        <w:bidi w:val="0"/>
        <w:ind w:firstLine="3920" w:firstLineChars="1400"/>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日期：2023年月日</w:t>
      </w:r>
    </w:p>
    <w:p>
      <w:pPr>
        <w:bidi w:val="0"/>
        <w:rPr>
          <w:rFonts w:hint="eastAsia" w:ascii="仿宋" w:hAnsi="仿宋" w:eastAsia="仿宋" w:cs="仿宋"/>
          <w:sz w:val="22"/>
          <w:szCs w:val="28"/>
        </w:rPr>
      </w:pPr>
    </w:p>
    <w:p>
      <w:pPr>
        <w:rPr>
          <w:rFonts w:hint="eastAsia" w:ascii="黑体" w:hAnsi="黑体" w:eastAsia="黑体" w:cs="黑体"/>
          <w:b w:val="0"/>
          <w:bCs/>
          <w:color w:val="000000"/>
          <w:sz w:val="32"/>
          <w:szCs w:val="32"/>
        </w:rPr>
      </w:pPr>
    </w:p>
    <w:p>
      <w:pPr>
        <w:rPr>
          <w:rFonts w:hint="eastAsia" w:ascii="黑体" w:hAnsi="黑体" w:eastAsia="黑体" w:cs="黑体"/>
          <w:b w:val="0"/>
          <w:bCs/>
          <w:color w:val="000000"/>
          <w:sz w:val="32"/>
          <w:szCs w:val="32"/>
          <w:lang w:val="en-US" w:eastAsia="zh-CN"/>
        </w:rPr>
      </w:pPr>
    </w:p>
    <w:p>
      <w:pPr>
        <w:pStyle w:val="2"/>
        <w:rPr>
          <w:rFonts w:hint="eastAsia" w:ascii="黑体" w:hAnsi="黑体" w:eastAsia="黑体" w:cs="黑体"/>
          <w:b w:val="0"/>
          <w:bCs/>
          <w:color w:val="000000"/>
          <w:sz w:val="32"/>
          <w:szCs w:val="32"/>
          <w:lang w:val="en-US" w:eastAsia="zh-CN"/>
        </w:rPr>
      </w:pPr>
    </w:p>
    <w:p>
      <w:pPr>
        <w:rPr>
          <w:rFonts w:hint="eastAsia" w:ascii="黑体" w:hAnsi="黑体" w:eastAsia="黑体" w:cs="黑体"/>
          <w:b w:val="0"/>
          <w:bCs/>
          <w:color w:val="000000"/>
          <w:sz w:val="32"/>
          <w:szCs w:val="32"/>
          <w:lang w:val="en-US" w:eastAsia="zh-CN"/>
        </w:rPr>
      </w:pPr>
    </w:p>
    <w:p>
      <w:pPr>
        <w:pStyle w:val="2"/>
        <w:rPr>
          <w:rFonts w:hint="eastAsia" w:ascii="黑体" w:hAnsi="黑体" w:eastAsia="黑体" w:cs="黑体"/>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36"/>
          <w:szCs w:val="44"/>
        </w:rPr>
      </w:pPr>
      <w:r>
        <w:rPr>
          <w:rFonts w:hint="eastAsia" w:ascii="仿宋" w:hAnsi="仿宋" w:eastAsia="仿宋" w:cs="仿宋"/>
          <w:b/>
          <w:bCs/>
          <w:sz w:val="36"/>
          <w:szCs w:val="44"/>
        </w:rPr>
        <w:t>服务承诺函</w:t>
      </w:r>
    </w:p>
    <w:p>
      <w:pPr>
        <w:bidi w:val="0"/>
        <w:ind w:firstLine="640" w:firstLineChars="200"/>
        <w:outlineLvl w:val="9"/>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1.保证向贵单位提供的材料是真实的、无虚假的、合格的未使用产品；</w:t>
      </w:r>
    </w:p>
    <w:p>
      <w:pPr>
        <w:pStyle w:val="2"/>
        <w:outlineLvl w:val="9"/>
        <w:rPr>
          <w:rFonts w:hint="eastAsia" w:ascii="仿宋" w:hAnsi="仿宋" w:eastAsia="仿宋" w:cs="仿宋"/>
          <w:sz w:val="32"/>
          <w:lang w:val="en-US" w:eastAsia="zh-CN"/>
        </w:rPr>
      </w:pPr>
      <w:r>
        <w:rPr>
          <w:rFonts w:hint="eastAsia" w:ascii="仿宋" w:hAnsi="仿宋" w:eastAsia="仿宋" w:cs="仿宋"/>
          <w:sz w:val="32"/>
          <w:lang w:val="en-US" w:eastAsia="zh-CN"/>
        </w:rPr>
        <w:t>2.保证为贵单位设计的建设方案符合贵单位要求；</w:t>
      </w:r>
    </w:p>
    <w:p>
      <w:pPr>
        <w:pStyle w:val="2"/>
        <w:outlineLvl w:val="9"/>
        <w:rPr>
          <w:rFonts w:hint="eastAsia" w:ascii="仿宋" w:hAnsi="仿宋" w:eastAsia="仿宋" w:cs="仿宋"/>
          <w:sz w:val="32"/>
          <w:lang w:val="en-US" w:eastAsia="zh-CN"/>
        </w:rPr>
      </w:pPr>
      <w:r>
        <w:rPr>
          <w:rFonts w:hint="eastAsia" w:ascii="仿宋" w:hAnsi="仿宋" w:eastAsia="仿宋" w:cs="仿宋"/>
          <w:sz w:val="32"/>
          <w:lang w:val="en-US" w:eastAsia="zh-CN"/>
        </w:rPr>
        <w:t>3.保证</w:t>
      </w:r>
      <w:r>
        <w:rPr>
          <w:rFonts w:hint="eastAsia" w:ascii="仿宋" w:hAnsi="仿宋" w:eastAsia="仿宋" w:cs="仿宋"/>
          <w:sz w:val="32"/>
          <w:szCs w:val="32"/>
          <w:lang w:val="en-US" w:eastAsia="zh-CN"/>
        </w:rPr>
        <w:t>施工内容与效果与设计方案一致，且</w:t>
      </w:r>
      <w:r>
        <w:rPr>
          <w:rFonts w:hint="eastAsia" w:ascii="仿宋" w:hAnsi="仿宋" w:eastAsia="仿宋" w:cs="仿宋"/>
          <w:sz w:val="32"/>
          <w:lang w:val="en-US" w:eastAsia="zh-CN"/>
        </w:rPr>
        <w:t>为贵单位上墙的内容无涉政错误；</w:t>
      </w:r>
    </w:p>
    <w:p>
      <w:pPr>
        <w:bidi w:val="0"/>
        <w:ind w:firstLine="640" w:firstLineChars="200"/>
        <w:outlineLvl w:val="9"/>
        <w:rPr>
          <w:rFonts w:hint="eastAsia" w:ascii="仿宋" w:hAnsi="仿宋" w:eastAsia="仿宋" w:cs="仿宋"/>
          <w:sz w:val="32"/>
          <w:szCs w:val="36"/>
          <w:lang w:val="en-US" w:eastAsia="zh-CN"/>
        </w:rPr>
      </w:pPr>
      <w:r>
        <w:rPr>
          <w:rFonts w:hint="eastAsia" w:ascii="仿宋" w:hAnsi="仿宋" w:eastAsia="仿宋" w:cs="仿宋"/>
          <w:sz w:val="32"/>
          <w:szCs w:val="36"/>
          <w:lang w:val="en-US" w:eastAsia="zh-CN"/>
        </w:rPr>
        <w:t>4.贵单位因质量问题向我公司提出更换要求的，我公司将在1个工作日内响应并立即做出处理；</w:t>
      </w:r>
    </w:p>
    <w:p>
      <w:pPr>
        <w:bidi w:val="0"/>
        <w:ind w:firstLine="640" w:firstLineChars="200"/>
        <w:outlineLvl w:val="9"/>
        <w:rPr>
          <w:rFonts w:hint="default" w:ascii="仿宋" w:hAnsi="仿宋" w:eastAsia="仿宋" w:cs="仿宋"/>
          <w:sz w:val="28"/>
          <w:szCs w:val="36"/>
          <w:lang w:val="en-US" w:eastAsia="zh-CN"/>
        </w:rPr>
      </w:pPr>
      <w:r>
        <w:rPr>
          <w:rFonts w:hint="eastAsia" w:ascii="仿宋" w:hAnsi="仿宋" w:eastAsia="仿宋" w:cs="仿宋"/>
          <w:sz w:val="32"/>
          <w:szCs w:val="36"/>
          <w:lang w:val="en-US" w:eastAsia="zh-CN"/>
        </w:rPr>
        <w:t>5.</w:t>
      </w:r>
      <w:r>
        <w:rPr>
          <w:rFonts w:hint="eastAsia" w:ascii="仿宋" w:hAnsi="仿宋" w:eastAsia="仿宋" w:cs="仿宋"/>
          <w:sz w:val="32"/>
          <w:szCs w:val="32"/>
          <w:lang w:val="en-US" w:eastAsia="zh-CN"/>
        </w:rPr>
        <w:t>项目建设验收合格后，我公司保证免费提供售后服务2年，并及时响应贵单位售后需求。</w:t>
      </w: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rPr>
          <w:rFonts w:hint="eastAsia" w:ascii="仿宋" w:hAnsi="仿宋" w:eastAsia="仿宋" w:cs="仿宋"/>
          <w:sz w:val="28"/>
          <w:szCs w:val="36"/>
          <w:lang w:val="en-US" w:eastAsia="zh-CN"/>
        </w:rPr>
      </w:pPr>
    </w:p>
    <w:p>
      <w:pPr>
        <w:bidi w:val="0"/>
        <w:ind w:firstLine="3520" w:firstLineChars="1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采购响应商名称（单位公章）：</w:t>
      </w:r>
    </w:p>
    <w:p>
      <w:pPr>
        <w:bidi w:val="0"/>
        <w:ind w:firstLine="3520" w:firstLineChars="1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日期：2023年   月   日</w:t>
      </w:r>
    </w:p>
    <w:p>
      <w:pPr>
        <w:keepNext w:val="0"/>
        <w:keepLines w:val="0"/>
        <w:pageBreakBefore w:val="0"/>
        <w:widowControl w:val="0"/>
        <w:kinsoku/>
        <w:wordWrap/>
        <w:overflowPunct/>
        <w:topLinePunct w:val="0"/>
        <w:autoSpaceDE/>
        <w:autoSpaceDN/>
        <w:bidi w:val="0"/>
        <w:adjustRightInd/>
        <w:snapToGrid/>
        <w:spacing w:after="313" w:afterLines="100"/>
        <w:jc w:val="both"/>
        <w:textAlignment w:val="auto"/>
        <w:rPr>
          <w:rFonts w:hint="eastAsia" w:ascii="仿宋" w:hAnsi="仿宋" w:eastAsia="仿宋" w:cs="仿宋"/>
          <w:b/>
          <w:bCs/>
          <w:sz w:val="36"/>
          <w:szCs w:val="44"/>
          <w:lang w:val="en-US" w:eastAsia="zh-CN"/>
        </w:rPr>
      </w:pPr>
    </w:p>
    <w:p>
      <w:pPr>
        <w:pStyle w:val="2"/>
        <w:rPr>
          <w:rFonts w:hint="eastAsia" w:ascii="仿宋" w:hAnsi="仿宋" w:eastAsia="仿宋" w:cs="仿宋"/>
          <w:b/>
          <w:bCs/>
          <w:sz w:val="36"/>
          <w:szCs w:val="44"/>
          <w:lang w:val="en-US" w:eastAsia="zh-CN"/>
        </w:rPr>
      </w:pPr>
    </w:p>
    <w:p>
      <w:pPr>
        <w:rPr>
          <w:rFonts w:hint="eastAsia" w:ascii="仿宋" w:hAnsi="仿宋" w:eastAsia="仿宋" w:cs="仿宋"/>
          <w:b/>
          <w:bCs/>
          <w:sz w:val="36"/>
          <w:szCs w:val="44"/>
          <w:lang w:val="en-US" w:eastAsia="zh-CN"/>
        </w:rPr>
      </w:pPr>
    </w:p>
    <w:p>
      <w:pPr>
        <w:pStyle w:val="2"/>
        <w:rPr>
          <w:rFonts w:hint="eastAsia" w:ascii="仿宋" w:hAnsi="仿宋" w:eastAsia="仿宋" w:cs="仿宋"/>
          <w:b/>
          <w:bCs/>
          <w:sz w:val="36"/>
          <w:szCs w:val="44"/>
          <w:lang w:val="en-US" w:eastAsia="zh-CN"/>
        </w:rPr>
      </w:pPr>
    </w:p>
    <w:p>
      <w:pPr>
        <w:rPr>
          <w:rFonts w:hint="eastAsia" w:ascii="仿宋" w:hAnsi="仿宋" w:eastAsia="仿宋" w:cs="仿宋"/>
          <w:b/>
          <w:bCs/>
          <w:sz w:val="36"/>
          <w:szCs w:val="44"/>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服务供应商中标须承诺</w:t>
      </w: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若我单位中标（成交）后，未按比选文件及合同规定对采购人履行义务和责任的，应当承担相应的法律责任，导致采购人造成经济损失的，需进行相应赔偿。</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eastAsia"/>
        </w:rPr>
      </w:pPr>
    </w:p>
    <w:p>
      <w:pPr>
        <w:numPr>
          <w:ilvl w:val="0"/>
          <w:numId w:val="3"/>
        </w:numPr>
        <w:outlineLvl w:val="1"/>
        <w:rPr>
          <w:rFonts w:hint="eastAsia" w:ascii="黑体" w:hAnsi="黑体" w:eastAsia="黑体" w:cs="黑体"/>
          <w:b w:val="0"/>
          <w:bCs/>
          <w:color w:val="000000"/>
          <w:sz w:val="32"/>
          <w:szCs w:val="32"/>
        </w:rPr>
      </w:pPr>
      <w:bookmarkStart w:id="92" w:name="_Toc23139"/>
      <w:r>
        <w:rPr>
          <w:rFonts w:hint="eastAsia" w:ascii="黑体" w:hAnsi="黑体" w:eastAsia="黑体" w:cs="黑体"/>
          <w:b w:val="0"/>
          <w:bCs/>
          <w:color w:val="000000"/>
          <w:sz w:val="32"/>
          <w:szCs w:val="32"/>
        </w:rPr>
        <w:t>参选人认为有必要提供的其他资料</w:t>
      </w:r>
      <w:bookmarkEnd w:id="92"/>
    </w:p>
    <w:p>
      <w:pPr>
        <w:pStyle w:val="2"/>
        <w:rPr>
          <w:rFonts w:hint="default" w:eastAsia="黑体"/>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rPr>
          <w:rFonts w:hint="eastAsia" w:ascii="仿宋" w:hAnsi="仿宋" w:eastAsia="仿宋" w:cs="仿宋"/>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13"/>
                            <w:rPr>
                              <w:rStyle w:val="23"/>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V+SdAAAAADAQAADwAAAAAAAAABACAAAAAiAAAA&#10;ZHJzL2Rvd25yZXYueG1sUEsBAhQAFAAAAAgAh07iQAghI9UPAgAAEAQAAA4AAAAAAAAAAQAgAAAA&#10;HwEAAGRycy9lMm9Eb2MueG1sUEsFBgAAAAAGAAYAWQEAAKAFAAAAAA==&#10;">
              <v:fill on="f" focussize="0,0"/>
              <v:stroke on="f"/>
              <v:imagedata o:title=""/>
              <o:lock v:ext="edit" aspectratio="f"/>
              <v:textbox inset="0mm,0mm,0mm,0mm" style="mso-fit-shape-to-text:t;">
                <w:txbxContent>
                  <w:p>
                    <w:pPr>
                      <w:pStyle w:val="13"/>
                      <w:rPr>
                        <w:rStyle w:val="23"/>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17</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43221"/>
    <w:multiLevelType w:val="singleLevel"/>
    <w:tmpl w:val="AEA43221"/>
    <w:lvl w:ilvl="0" w:tentative="0">
      <w:start w:val="6"/>
      <w:numFmt w:val="chineseCounting"/>
      <w:suff w:val="nothing"/>
      <w:lvlText w:val="%1、"/>
      <w:lvlJc w:val="left"/>
      <w:rPr>
        <w:rFonts w:hint="eastAsia"/>
      </w:rPr>
    </w:lvl>
  </w:abstractNum>
  <w:abstractNum w:abstractNumId="1">
    <w:nsid w:val="572038E8"/>
    <w:multiLevelType w:val="multilevel"/>
    <w:tmpl w:val="572038E8"/>
    <w:lvl w:ilvl="0" w:tentative="0">
      <w:start w:val="1"/>
      <w:numFmt w:val="japaneseCounting"/>
      <w:lvlText w:val="%1、"/>
      <w:lvlJc w:val="left"/>
      <w:pPr>
        <w:tabs>
          <w:tab w:val="left" w:pos="720"/>
        </w:tabs>
        <w:ind w:left="720" w:hanging="720"/>
      </w:pPr>
    </w:lvl>
    <w:lvl w:ilvl="1" w:tentative="0">
      <w:start w:val="1"/>
      <w:numFmt w:val="japaneseCounting"/>
      <w:lvlText w:val="（%2）"/>
      <w:lvlJc w:val="left"/>
      <w:pPr>
        <w:tabs>
          <w:tab w:val="left" w:pos="1500"/>
        </w:tabs>
        <w:ind w:left="1500" w:hanging="10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B711465"/>
    <w:multiLevelType w:val="singleLevel"/>
    <w:tmpl w:val="5B711465"/>
    <w:lvl w:ilvl="0" w:tentative="0">
      <w:start w:val="2"/>
      <w:numFmt w:val="chineseCounting"/>
      <w:suff w:val="nothing"/>
      <w:lvlText w:val="%1、"/>
      <w:lvlJc w:val="left"/>
      <w:rPr>
        <w:rFonts w:hint="eastAsia" w:ascii="黑体" w:hAnsi="黑体" w:eastAsia="黑体" w:cs="黑体"/>
        <w:sz w:val="3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YzUyZjI5NjZhN2FkZmZhMmIyZmI0OGIzMGQwMDcifQ=="/>
  </w:docVars>
  <w:rsids>
    <w:rsidRoot w:val="3C07534F"/>
    <w:rsid w:val="00A81D22"/>
    <w:rsid w:val="01407A1B"/>
    <w:rsid w:val="021E4F68"/>
    <w:rsid w:val="027E7D17"/>
    <w:rsid w:val="02BB14F9"/>
    <w:rsid w:val="0428376B"/>
    <w:rsid w:val="042A19D2"/>
    <w:rsid w:val="04822014"/>
    <w:rsid w:val="07116192"/>
    <w:rsid w:val="08E01D06"/>
    <w:rsid w:val="09157943"/>
    <w:rsid w:val="09C6146A"/>
    <w:rsid w:val="0A7562C3"/>
    <w:rsid w:val="0C307649"/>
    <w:rsid w:val="0DCA35BB"/>
    <w:rsid w:val="0DE165A8"/>
    <w:rsid w:val="1025513D"/>
    <w:rsid w:val="103E7FAD"/>
    <w:rsid w:val="10757746"/>
    <w:rsid w:val="14385B94"/>
    <w:rsid w:val="147D3D38"/>
    <w:rsid w:val="15A64D6A"/>
    <w:rsid w:val="16AD7D69"/>
    <w:rsid w:val="16E8681B"/>
    <w:rsid w:val="1734145C"/>
    <w:rsid w:val="174F6F43"/>
    <w:rsid w:val="17793D1D"/>
    <w:rsid w:val="179A3C6A"/>
    <w:rsid w:val="179E3A27"/>
    <w:rsid w:val="17DC78D9"/>
    <w:rsid w:val="19932EAB"/>
    <w:rsid w:val="1A765D9C"/>
    <w:rsid w:val="1B120284"/>
    <w:rsid w:val="1CC6517D"/>
    <w:rsid w:val="1E002D45"/>
    <w:rsid w:val="1E906116"/>
    <w:rsid w:val="1EAA747C"/>
    <w:rsid w:val="1FD20711"/>
    <w:rsid w:val="20216FA3"/>
    <w:rsid w:val="21E660B8"/>
    <w:rsid w:val="221B63A0"/>
    <w:rsid w:val="224F7DF7"/>
    <w:rsid w:val="227C4964"/>
    <w:rsid w:val="23916186"/>
    <w:rsid w:val="247B1377"/>
    <w:rsid w:val="256807D5"/>
    <w:rsid w:val="25B32596"/>
    <w:rsid w:val="25D064A0"/>
    <w:rsid w:val="27005B64"/>
    <w:rsid w:val="272C559E"/>
    <w:rsid w:val="27B67B7E"/>
    <w:rsid w:val="28292E99"/>
    <w:rsid w:val="28424B5A"/>
    <w:rsid w:val="28795BDB"/>
    <w:rsid w:val="28876DE6"/>
    <w:rsid w:val="299C4DB2"/>
    <w:rsid w:val="2A1C0798"/>
    <w:rsid w:val="2B130ACA"/>
    <w:rsid w:val="2B5D5D75"/>
    <w:rsid w:val="2DDC5444"/>
    <w:rsid w:val="2EAF6494"/>
    <w:rsid w:val="2FA5682E"/>
    <w:rsid w:val="30484DF0"/>
    <w:rsid w:val="31425661"/>
    <w:rsid w:val="31D125D7"/>
    <w:rsid w:val="31F2079F"/>
    <w:rsid w:val="32387810"/>
    <w:rsid w:val="3284589B"/>
    <w:rsid w:val="35A03DD0"/>
    <w:rsid w:val="36D33788"/>
    <w:rsid w:val="376F3570"/>
    <w:rsid w:val="386341A5"/>
    <w:rsid w:val="390E5EBF"/>
    <w:rsid w:val="3A9B6428"/>
    <w:rsid w:val="3AE65251"/>
    <w:rsid w:val="3B271F37"/>
    <w:rsid w:val="3B5878C5"/>
    <w:rsid w:val="3B6C6D88"/>
    <w:rsid w:val="3C07534F"/>
    <w:rsid w:val="3CA913ED"/>
    <w:rsid w:val="3CD8760A"/>
    <w:rsid w:val="3D814CCD"/>
    <w:rsid w:val="3F567C7A"/>
    <w:rsid w:val="3FFE32AC"/>
    <w:rsid w:val="403A1C8F"/>
    <w:rsid w:val="40465F24"/>
    <w:rsid w:val="406B009A"/>
    <w:rsid w:val="432E2649"/>
    <w:rsid w:val="43707776"/>
    <w:rsid w:val="464949DA"/>
    <w:rsid w:val="46944F4A"/>
    <w:rsid w:val="46965745"/>
    <w:rsid w:val="479C322F"/>
    <w:rsid w:val="47E332FC"/>
    <w:rsid w:val="481B4081"/>
    <w:rsid w:val="484A73C3"/>
    <w:rsid w:val="493B6DAE"/>
    <w:rsid w:val="49C34AA3"/>
    <w:rsid w:val="49EF3B83"/>
    <w:rsid w:val="4A6A4C4C"/>
    <w:rsid w:val="4B862FEE"/>
    <w:rsid w:val="4B9B2B03"/>
    <w:rsid w:val="4BE61EE6"/>
    <w:rsid w:val="4C4B34C6"/>
    <w:rsid w:val="4CA77E82"/>
    <w:rsid w:val="4D08395F"/>
    <w:rsid w:val="4D133566"/>
    <w:rsid w:val="50454A03"/>
    <w:rsid w:val="50D43A3A"/>
    <w:rsid w:val="52AE28B9"/>
    <w:rsid w:val="52BF3D7B"/>
    <w:rsid w:val="530B7E78"/>
    <w:rsid w:val="53513120"/>
    <w:rsid w:val="53CB1FF7"/>
    <w:rsid w:val="54085ED4"/>
    <w:rsid w:val="54E87AB4"/>
    <w:rsid w:val="552D6D80"/>
    <w:rsid w:val="55C32960"/>
    <w:rsid w:val="567E7A69"/>
    <w:rsid w:val="56C14EFB"/>
    <w:rsid w:val="56ED3C54"/>
    <w:rsid w:val="57DF0966"/>
    <w:rsid w:val="580E7F49"/>
    <w:rsid w:val="58FA2251"/>
    <w:rsid w:val="5A074538"/>
    <w:rsid w:val="5A2D6AFD"/>
    <w:rsid w:val="5A40174F"/>
    <w:rsid w:val="5D1C78DB"/>
    <w:rsid w:val="5DB9023F"/>
    <w:rsid w:val="60300B09"/>
    <w:rsid w:val="605F6953"/>
    <w:rsid w:val="60C10B13"/>
    <w:rsid w:val="60F11A9E"/>
    <w:rsid w:val="61964477"/>
    <w:rsid w:val="61B338A7"/>
    <w:rsid w:val="662E276E"/>
    <w:rsid w:val="66AF2BCA"/>
    <w:rsid w:val="68DC3034"/>
    <w:rsid w:val="6B6E4507"/>
    <w:rsid w:val="6B8C71F4"/>
    <w:rsid w:val="6DBD3434"/>
    <w:rsid w:val="6DC161F6"/>
    <w:rsid w:val="70145469"/>
    <w:rsid w:val="703925E5"/>
    <w:rsid w:val="70873303"/>
    <w:rsid w:val="71BB3C43"/>
    <w:rsid w:val="73683E42"/>
    <w:rsid w:val="751A5610"/>
    <w:rsid w:val="7520733E"/>
    <w:rsid w:val="76037430"/>
    <w:rsid w:val="761D35BF"/>
    <w:rsid w:val="767D7634"/>
    <w:rsid w:val="76C575A4"/>
    <w:rsid w:val="76D127F4"/>
    <w:rsid w:val="779C67B0"/>
    <w:rsid w:val="77F26670"/>
    <w:rsid w:val="780600CD"/>
    <w:rsid w:val="78F97754"/>
    <w:rsid w:val="79664373"/>
    <w:rsid w:val="7B543CFD"/>
    <w:rsid w:val="7B705DA0"/>
    <w:rsid w:val="7BC65BA9"/>
    <w:rsid w:val="7BDC717B"/>
    <w:rsid w:val="7D4E22FA"/>
    <w:rsid w:val="7E451A82"/>
    <w:rsid w:val="7E6B2A38"/>
    <w:rsid w:val="7FB72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tabs>
        <w:tab w:val="left" w:pos="0"/>
      </w:tabs>
      <w:spacing w:line="360" w:lineRule="auto"/>
      <w:ind w:firstLine="0" w:firstLineChars="0"/>
      <w:jc w:val="center"/>
      <w:outlineLvl w:val="0"/>
    </w:pPr>
    <w:rPr>
      <w:rFonts w:ascii="黑体" w:hAnsi="黑体"/>
      <w:b/>
      <w:sz w:val="32"/>
      <w:szCs w:val="32"/>
    </w:rPr>
  </w:style>
  <w:style w:type="paragraph" w:styleId="4">
    <w:name w:val="heading 2"/>
    <w:basedOn w:val="1"/>
    <w:next w:val="1"/>
    <w:semiHidden/>
    <w:unhideWhenUsed/>
    <w:qFormat/>
    <w:uiPriority w:val="0"/>
    <w:pPr>
      <w:keepNext/>
      <w:keepLines/>
      <w:tabs>
        <w:tab w:val="left" w:pos="0"/>
      </w:tabs>
      <w:spacing w:beforeLines="0" w:beforeAutospacing="0" w:afterLines="0" w:afterAutospacing="0" w:line="360" w:lineRule="auto"/>
      <w:ind w:firstLine="0" w:firstLineChars="0"/>
      <w:jc w:val="center"/>
      <w:outlineLvl w:val="1"/>
    </w:pPr>
    <w:rPr>
      <w:rFonts w:ascii="Arial" w:hAnsi="Arial"/>
      <w:b/>
      <w:sz w:val="30"/>
      <w:szCs w:val="22"/>
    </w:rPr>
  </w:style>
  <w:style w:type="paragraph" w:styleId="5">
    <w:name w:val="heading 3"/>
    <w:basedOn w:val="1"/>
    <w:next w:val="1"/>
    <w:qFormat/>
    <w:uiPriority w:val="9"/>
    <w:pPr>
      <w:keepNext/>
      <w:keepLines/>
      <w:spacing w:before="100" w:beforeAutospacing="1" w:after="100" w:afterAutospacing="1" w:line="360" w:lineRule="auto"/>
      <w:jc w:val="center"/>
      <w:outlineLvl w:val="2"/>
    </w:pPr>
    <w:rPr>
      <w:rFonts w:eastAsia="黑体"/>
      <w:bCs/>
      <w:kern w:val="0"/>
      <w:sz w:val="24"/>
      <w:szCs w:val="32"/>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0"/>
      </w:tabs>
      <w:spacing w:afterLines="0" w:afterAutospacing="0"/>
      <w:ind w:firstLine="480" w:firstLineChars="200"/>
    </w:pPr>
  </w:style>
  <w:style w:type="paragraph" w:styleId="6">
    <w:name w:val="Normal Indent"/>
    <w:basedOn w:val="1"/>
    <w:qFormat/>
    <w:uiPriority w:val="0"/>
    <w:pPr>
      <w:tabs>
        <w:tab w:val="left" w:pos="0"/>
      </w:tabs>
      <w:ind w:firstLine="420" w:firstLineChars="200"/>
    </w:pPr>
  </w:style>
  <w:style w:type="paragraph" w:styleId="7">
    <w:name w:val="annotation text"/>
    <w:basedOn w:val="1"/>
    <w:qFormat/>
    <w:uiPriority w:val="0"/>
    <w:pPr>
      <w:jc w:val="left"/>
    </w:pPr>
  </w:style>
  <w:style w:type="paragraph" w:styleId="8">
    <w:name w:val="Body Text Indent"/>
    <w:basedOn w:val="1"/>
    <w:next w:val="9"/>
    <w:qFormat/>
    <w:uiPriority w:val="0"/>
    <w:pPr>
      <w:ind w:firstLine="660"/>
    </w:pPr>
    <w:rPr>
      <w:rFonts w:ascii="宋体" w:hAnsi="宋体"/>
      <w:color w:val="000000"/>
      <w:sz w:val="24"/>
      <w:szCs w:val="20"/>
    </w:rPr>
  </w:style>
  <w:style w:type="paragraph" w:styleId="9">
    <w:name w:val="envelope return"/>
    <w:basedOn w:val="1"/>
    <w:qFormat/>
    <w:uiPriority w:val="0"/>
    <w:pPr>
      <w:snapToGrid w:val="0"/>
    </w:pPr>
    <w:rPr>
      <w:rFonts w:ascii="Arial" w:hAnsi="Arial"/>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szCs w:val="20"/>
    </w:rPr>
  </w:style>
  <w:style w:type="paragraph" w:styleId="12">
    <w:name w:val="Body Text Indent 2"/>
    <w:basedOn w:val="1"/>
    <w:qFormat/>
    <w:uiPriority w:val="0"/>
    <w:pPr>
      <w:autoSpaceDE/>
      <w:autoSpaceDN/>
      <w:adjustRightInd/>
      <w:spacing w:line="360" w:lineRule="auto"/>
      <w:ind w:firstLine="720"/>
      <w:jc w:val="both"/>
      <w:textAlignment w:val="auto"/>
    </w:pPr>
    <w:rPr>
      <w:kern w:val="2"/>
      <w:sz w:val="28"/>
      <w:lang w:val="en-US"/>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List"/>
    <w:basedOn w:val="1"/>
    <w:qFormat/>
    <w:uiPriority w:val="0"/>
    <w:pPr>
      <w:widowControl w:val="0"/>
      <w:spacing w:line="240" w:lineRule="auto"/>
      <w:ind w:left="420" w:hanging="420"/>
      <w:textAlignment w:val="auto"/>
    </w:pPr>
    <w:rPr>
      <w:rFonts w:ascii="Arial" w:hAnsi="Arial" w:eastAsia="楷体_GB2312"/>
      <w:color w:val="auto"/>
      <w:kern w:val="2"/>
      <w:sz w:val="28"/>
    </w:rPr>
  </w:style>
  <w:style w:type="paragraph" w:styleId="17">
    <w:name w:val="toc 2"/>
    <w:basedOn w:val="1"/>
    <w:next w:val="1"/>
    <w:qFormat/>
    <w:uiPriority w:val="0"/>
    <w:pPr>
      <w:ind w:left="420" w:leftChars="200"/>
    </w:pPr>
  </w:style>
  <w:style w:type="paragraph" w:styleId="18">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19">
    <w:name w:val="Body Text First Indent 2"/>
    <w:basedOn w:val="8"/>
    <w:next w:val="16"/>
    <w:qFormat/>
    <w:uiPriority w:val="0"/>
    <w:pPr>
      <w:spacing w:after="120"/>
      <w:ind w:left="420" w:leftChars="200" w:firstLine="420" w:firstLineChars="200"/>
    </w:pPr>
    <w:rPr>
      <w:sz w:val="21"/>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paragraph" w:customStyle="1" w:styleId="24">
    <w:name w:val="BodyText1I2"/>
    <w:basedOn w:val="25"/>
    <w:qFormat/>
    <w:uiPriority w:val="0"/>
    <w:pPr>
      <w:spacing w:after="120" w:line="360" w:lineRule="atLeast"/>
      <w:ind w:left="420" w:leftChars="200" w:firstLine="420" w:firstLineChars="200"/>
      <w:jc w:val="both"/>
      <w:textAlignment w:val="baseline"/>
    </w:pPr>
    <w:rPr>
      <w:rFonts w:ascii="Times New Roman"/>
      <w:kern w:val="2"/>
      <w:sz w:val="24"/>
      <w:szCs w:val="24"/>
      <w:lang w:val="en-US" w:eastAsia="zh-CN" w:bidi="ar-SA"/>
    </w:rPr>
  </w:style>
  <w:style w:type="paragraph" w:customStyle="1" w:styleId="25">
    <w:name w:val="BodyTextIndent"/>
    <w:basedOn w:val="1"/>
    <w:qFormat/>
    <w:uiPriority w:val="0"/>
    <w:pPr>
      <w:spacing w:line="360" w:lineRule="auto"/>
      <w:ind w:left="2400" w:hanging="2400" w:hangingChars="857"/>
      <w:jc w:val="both"/>
      <w:textAlignment w:val="baseline"/>
    </w:pPr>
    <w:rPr>
      <w:rFonts w:ascii="宋体"/>
      <w:kern w:val="2"/>
      <w:sz w:val="28"/>
      <w:szCs w:val="24"/>
      <w:lang w:val="en-US" w:eastAsia="zh-CN" w:bidi="ar-SA"/>
    </w:rPr>
  </w:style>
  <w:style w:type="paragraph" w:customStyle="1" w:styleId="26">
    <w:name w:val="Body Text First Indent_5b56ebf9-c2de-416f-9d61-1b90269d2f2c"/>
    <w:basedOn w:val="1"/>
    <w:qFormat/>
    <w:uiPriority w:val="0"/>
    <w:pPr>
      <w:ind w:firstLine="720"/>
      <w:jc w:val="left"/>
    </w:pPr>
    <w:rPr>
      <w:sz w:val="24"/>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styleId="28">
    <w:name w:val="List Paragraph"/>
    <w:basedOn w:val="1"/>
    <w:qFormat/>
    <w:uiPriority w:val="1"/>
    <w:pPr>
      <w:ind w:left="492" w:firstLine="480"/>
    </w:pPr>
    <w:rPr>
      <w:rFonts w:ascii="宋体" w:hAnsi="宋体" w:eastAsia="宋体" w:cs="宋体"/>
      <w:lang w:val="zh-CN" w:eastAsia="zh-CN" w:bidi="zh-CN"/>
    </w:rPr>
  </w:style>
  <w:style w:type="paragraph" w:customStyle="1" w:styleId="2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5637</Words>
  <Characters>5841</Characters>
  <Lines>0</Lines>
  <Paragraphs>0</Paragraphs>
  <TotalTime>9</TotalTime>
  <ScaleCrop>false</ScaleCrop>
  <LinksUpToDate>false</LinksUpToDate>
  <CharactersWithSpaces>6139</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2022-08-22T06:13:00Z</dcterms:created>
  <dc:creator>kylin</dc:creator>
  <cp:lastModifiedBy>7  Ⅶ</cp:lastModifiedBy>
  <cp:lastPrinted>2023-08-30T05:19:00Z</cp:lastPrinted>
  <dcterms:modified xsi:type="dcterms:W3CDTF">2023-11-29T02:21:15Z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345FC0C1F98B435EA50266D34C1D3407_13</vt:lpwstr>
  </property>
</Properties>
</file>